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5. Common social Problem: Poverty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Poverty is a state where individuals lack sufficient resources to meet basic needs for a decent standard of living. It's characterized by a lack of access to food, clean water, shelter, education, healthcare, and other essential resources.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Causes Of Poverty : they include;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Poor governance and corruption: Lack of transparency, accountability, and effective governance can lead to mismanagement of resources and undermine economic development. And this is one of the major cause of poverty in Nigeria.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Income inequality: A significant portion of wealth and resources being concentrated in the hands of a few, while the majority struggle to make ends meet.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Unemployment and underemployment: Lack of job opportunities or low wages can prevent individuals from earning a sufficient income to meet their basic needs.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Lack of access to education: Limited or poor quality education can hinder individuals' ability to acquire skills and knowledge necessary  to secure well-paying jobs.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5: Inadequate food supply: access to nutritious food can lead to malnutrition, poor health, and decreased productivity, this most time could be as a result of low crop yield, bad climate and weather in a particular year, insecurities that may not allow Farmers go to farm,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Population growth: Rapid population growth cum uncontrolled population can affect government planning and budgeting, thus leading to inequalities which would affect limited resources there by making life difficult for most people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EFFECTS OF POVERTY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Health:Poverty leads to lower life expectancy, poorer health condition, and higher rates of malnutrition, particularly among children.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Education: Children from impoverished families may face limited access to quality education and may be forced to work instead of attending school, hindering their future prospects.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Economic: Poverty can lead to joblessness and lower wages, hindering economic growth and productivity of individuals , families and the nation at large.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Social: Poverty can result in social exclusion, discrimination, and limited participation in social, political, and economic activities.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Psychological: Poverty can lead to feelings of shame, hopelessness, and depression, can even affect  mental health and well-being.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