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DAE" w:rsidRPr="008818E9" w:rsidRDefault="00994450">
      <w:pPr>
        <w:pStyle w:val="Title"/>
        <w:rPr>
          <w:rFonts w:ascii="Bookman Old Style" w:hAnsi="Bookman Old Style"/>
          <w:b/>
        </w:rPr>
      </w:pPr>
      <w:r w:rsidRPr="008818E9">
        <w:rPr>
          <w:rFonts w:ascii="Bookman Old Style" w:hAnsi="Bookman Old Style"/>
          <w:b/>
          <w:color w:val="1B4332"/>
          <w:sz w:val="40"/>
        </w:rPr>
        <w:t>Parastatal X – Data Model Specification</w:t>
      </w:r>
    </w:p>
    <w:p w:rsidR="00F05DAE" w:rsidRPr="008818E9" w:rsidRDefault="00994450">
      <w:pPr>
        <w:rPr>
          <w:rFonts w:ascii="Bookman Old Style" w:hAnsi="Bookman Old Style"/>
        </w:rPr>
      </w:pPr>
      <w:r w:rsidRPr="008818E9">
        <w:rPr>
          <w:rFonts w:ascii="Bookman Old Style" w:hAnsi="Bookman Old Style"/>
          <w:b/>
          <w:color w:val="2C3E50"/>
          <w:sz w:val="24"/>
        </w:rPr>
        <w:t>Dynamic Budget Monitoring, Forecasting and Management Dashboard</w:t>
      </w:r>
    </w:p>
    <w:p w:rsidR="00F05DAE" w:rsidRPr="008818E9" w:rsidRDefault="00994450">
      <w:pPr>
        <w:rPr>
          <w:rFonts w:ascii="Bookman Old Style" w:hAnsi="Bookman Old Style"/>
        </w:rPr>
      </w:pPr>
      <w:bookmarkStart w:id="0" w:name="_GoBack"/>
      <w:bookmarkEnd w:id="0"/>
      <w:r w:rsidRPr="008818E9">
        <w:rPr>
          <w:rFonts w:ascii="Bookman Old Style" w:hAnsi="Bookman Old Style"/>
          <w:i/>
          <w:color w:val="2C3E50"/>
          <w:sz w:val="20"/>
        </w:rPr>
        <w:t xml:space="preserve">Version: </w:t>
      </w:r>
      <w:proofErr w:type="gramStart"/>
      <w:r w:rsidRPr="008818E9">
        <w:rPr>
          <w:rFonts w:ascii="Bookman Old Style" w:hAnsi="Bookman Old Style"/>
          <w:i/>
          <w:color w:val="2C3E50"/>
          <w:sz w:val="20"/>
        </w:rPr>
        <w:t>1.0  |</w:t>
      </w:r>
      <w:proofErr w:type="gramEnd"/>
      <w:r w:rsidRPr="008818E9">
        <w:rPr>
          <w:rFonts w:ascii="Bookman Old Style" w:hAnsi="Bookman Old Style"/>
          <w:i/>
          <w:color w:val="2C3E50"/>
          <w:sz w:val="20"/>
        </w:rPr>
        <w:t xml:space="preserve">  Date: June 2026  |  All data is synthetic</w:t>
      </w:r>
    </w:p>
    <w:p w:rsidR="00F05DAE" w:rsidRPr="008818E9" w:rsidRDefault="00994450" w:rsidP="008818E9">
      <w:pPr>
        <w:pStyle w:val="Heading1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  <w:sz w:val="32"/>
        </w:rPr>
        <w:t>1. Star Schema Architecture</w:t>
      </w:r>
      <w:r w:rsidRPr="008818E9">
        <w:rPr>
          <w:rFonts w:ascii="Bookman Old Style" w:hAnsi="Bookman Old Style"/>
          <w:b w:val="0"/>
          <w:color w:val="2C3E50"/>
          <w:sz w:val="20"/>
        </w:rPr>
        <w:br/>
      </w:r>
      <w:r w:rsidRPr="008818E9">
        <w:rPr>
          <w:rFonts w:ascii="Bookman Old Style" w:hAnsi="Bookman Old Style"/>
          <w:b w:val="0"/>
          <w:color w:val="2C3E50"/>
          <w:sz w:val="20"/>
        </w:rPr>
        <w:t>The data model uses a star schema design wit</w:t>
      </w:r>
      <w:r w:rsidR="008818E9">
        <w:rPr>
          <w:rFonts w:ascii="Bookman Old Style" w:hAnsi="Bookman Old Style"/>
          <w:color w:val="2C3E50"/>
          <w:sz w:val="20"/>
        </w:rPr>
        <w:t xml:space="preserve">h a central set of fact tables </w:t>
      </w:r>
      <w:r w:rsidRPr="008818E9">
        <w:rPr>
          <w:rFonts w:ascii="Bookman Old Style" w:hAnsi="Bookman Old Style"/>
          <w:b w:val="0"/>
          <w:color w:val="2C3E50"/>
          <w:sz w:val="20"/>
        </w:rPr>
        <w:t>connected to shared dimension tables. This</w:t>
      </w:r>
      <w:r w:rsidR="008818E9">
        <w:rPr>
          <w:rFonts w:ascii="Bookman Old Style" w:hAnsi="Bookman Old Style"/>
          <w:color w:val="2C3E50"/>
          <w:sz w:val="20"/>
        </w:rPr>
        <w:t xml:space="preserve"> design optimises Power BI DAX </w:t>
      </w:r>
      <w:r w:rsidRPr="008818E9">
        <w:rPr>
          <w:rFonts w:ascii="Bookman Old Style" w:hAnsi="Bookman Old Style"/>
          <w:b w:val="0"/>
          <w:color w:val="2C3E50"/>
          <w:sz w:val="20"/>
        </w:rPr>
        <w:t>performance, ensures clean filter pro</w:t>
      </w:r>
      <w:r w:rsidR="008818E9">
        <w:rPr>
          <w:rFonts w:ascii="Bookman Old Style" w:hAnsi="Bookman Old Style"/>
          <w:color w:val="2C3E50"/>
          <w:sz w:val="20"/>
        </w:rPr>
        <w:t>pagation, and avoids ambiguous many-to-many relationships.</w:t>
      </w:r>
    </w:p>
    <w:p w:rsidR="00F05DAE" w:rsidRPr="008818E9" w:rsidRDefault="00994450">
      <w:pPr>
        <w:pStyle w:val="Heading2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</w:rPr>
        <w:t>1.1 Fact</w:t>
      </w:r>
      <w:r w:rsidRPr="008818E9">
        <w:rPr>
          <w:rFonts w:ascii="Bookman Old Style" w:hAnsi="Bookman Old Style"/>
          <w:color w:val="1B4332"/>
        </w:rPr>
        <w:t xml:space="preserve"> Tables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880"/>
        <w:gridCol w:w="1188"/>
        <w:gridCol w:w="5490"/>
      </w:tblGrid>
      <w:tr w:rsidR="00F05DAE" w:rsidRPr="008818E9" w:rsidTr="008818E9">
        <w:tc>
          <w:tcPr>
            <w:tcW w:w="2880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Fact Table</w:t>
            </w:r>
          </w:p>
        </w:tc>
        <w:tc>
          <w:tcPr>
            <w:tcW w:w="1188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Row Count</w:t>
            </w:r>
          </w:p>
        </w:tc>
        <w:tc>
          <w:tcPr>
            <w:tcW w:w="5490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Description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Fact_Approved_Budget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96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Static approved budget by cost centre, vote and FY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Fact_Monthly_Budget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1,152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Monthly budget allocation profiles (Jul–Jun)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Fact_Supplementary_Budget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209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Supplementary budget adjustments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Fact_Reallocation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224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Budget reallocation requests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12,100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All expenditure transactions across 3 FYs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Fact_Commitments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1,350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Outstanding commitment register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Fact_Budget_Requests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1,000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AIE and budget review workflow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Fact_Procurement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390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Procurement plan and contract status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Fact_Pending_Bills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520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Outstanding supplier invoices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Fact_Revenue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1,140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Revenue and Appropriations-in-Aid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Fact_Performance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165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KPI tracking and M&amp;E indicators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Fact_Control_Exceptions</w:t>
            </w:r>
          </w:p>
        </w:tc>
        <w:tc>
          <w:tcPr>
            <w:tcW w:w="118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300</w:t>
            </w:r>
          </w:p>
        </w:tc>
        <w:tc>
          <w:tcPr>
            <w:tcW w:w="549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 xml:space="preserve">Internal audit and control </w:t>
            </w:r>
            <w:r w:rsidRPr="008818E9">
              <w:rPr>
                <w:rFonts w:ascii="Bookman Old Style" w:hAnsi="Bookman Old Style"/>
                <w:sz w:val="18"/>
              </w:rPr>
              <w:t>findings</w:t>
            </w:r>
          </w:p>
        </w:tc>
      </w:tr>
      <w:tr w:rsidR="00F05DAE" w:rsidRPr="008818E9" w:rsidTr="008818E9">
        <w:tc>
          <w:tcPr>
            <w:tcW w:w="288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Fact_Data_Quality</w:t>
            </w:r>
          </w:p>
        </w:tc>
        <w:tc>
          <w:tcPr>
            <w:tcW w:w="118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250</w:t>
            </w:r>
          </w:p>
        </w:tc>
        <w:tc>
          <w:tcPr>
            <w:tcW w:w="549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Data quality log</w:t>
            </w:r>
          </w:p>
        </w:tc>
      </w:tr>
    </w:tbl>
    <w:p w:rsidR="00F05DAE" w:rsidRPr="008818E9" w:rsidRDefault="00F05DAE">
      <w:pPr>
        <w:rPr>
          <w:rFonts w:ascii="Bookman Old Style" w:hAnsi="Bookman Old Style"/>
        </w:rPr>
      </w:pPr>
    </w:p>
    <w:p w:rsidR="00F05DAE" w:rsidRPr="008818E9" w:rsidRDefault="00994450">
      <w:pPr>
        <w:pStyle w:val="Heading2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</w:rPr>
        <w:t>1.2 Dimension Tables</w:t>
      </w:r>
    </w:p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2145"/>
        <w:gridCol w:w="1314"/>
        <w:gridCol w:w="3665"/>
        <w:gridCol w:w="2434"/>
      </w:tblGrid>
      <w:tr w:rsidR="00F05DAE" w:rsidRPr="008818E9" w:rsidTr="008818E9">
        <w:tc>
          <w:tcPr>
            <w:tcW w:w="2145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Dimension</w:t>
            </w:r>
          </w:p>
        </w:tc>
        <w:tc>
          <w:tcPr>
            <w:tcW w:w="1314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Rows</w:t>
            </w:r>
          </w:p>
        </w:tc>
        <w:tc>
          <w:tcPr>
            <w:tcW w:w="3665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Description</w:t>
            </w:r>
          </w:p>
        </w:tc>
        <w:tc>
          <w:tcPr>
            <w:tcW w:w="2434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Primary Key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Dim_Date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1,096 dates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Full date calendar 1 Jul 2023 – 30 Jun 2026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DateKey (INT)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Dim_Financial_Year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3 FYs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FY2023/24, FY2024/25, FY2025/26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FinancialYear (TEXT)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Dim_Programme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15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Programme hierarchy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ProgrammeCode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Dim_Directorate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13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13 directorates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DirectorateCode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Dim_Cost_Centre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32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HQ, regional, project and technical CCs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Dim_Region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8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8 operational regions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RegionCode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Dim_Activity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40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Activity catalogue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ActivityCode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Dim_Sub_Activity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~150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Sub-activity catalogue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SubActivityCode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Dim_Vote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33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 code (economic classification)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Dim_Fund_Source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8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GOK, AIA, donor sources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FundSourceCode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Dim_Donor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8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 xml:space="preserve">Donor </w:t>
            </w:r>
            <w:r w:rsidRPr="008818E9">
              <w:rPr>
                <w:rFonts w:ascii="Bookman Old Style" w:hAnsi="Bookman Old Style"/>
                <w:sz w:val="18"/>
              </w:rPr>
              <w:t>organisations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DonorCode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Dim_Risk_Rating</w:t>
            </w:r>
          </w:p>
        </w:tc>
        <w:tc>
          <w:tcPr>
            <w:tcW w:w="131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4</w:t>
            </w:r>
          </w:p>
        </w:tc>
        <w:tc>
          <w:tcPr>
            <w:tcW w:w="366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Critical, High, Medium, Low</w:t>
            </w:r>
          </w:p>
        </w:tc>
        <w:tc>
          <w:tcPr>
            <w:tcW w:w="243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RiskRating</w:t>
            </w:r>
          </w:p>
        </w:tc>
      </w:tr>
      <w:tr w:rsidR="00F05DAE" w:rsidRPr="008818E9" w:rsidTr="008818E9">
        <w:tc>
          <w:tcPr>
            <w:tcW w:w="214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Dim_Officer_Role</w:t>
            </w:r>
          </w:p>
        </w:tc>
        <w:tc>
          <w:tcPr>
            <w:tcW w:w="131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29</w:t>
            </w:r>
          </w:p>
        </w:tc>
        <w:tc>
          <w:tcPr>
            <w:tcW w:w="366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Management and officer roles</w:t>
            </w:r>
          </w:p>
        </w:tc>
        <w:tc>
          <w:tcPr>
            <w:tcW w:w="243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OfficerRole</w:t>
            </w:r>
          </w:p>
        </w:tc>
      </w:tr>
    </w:tbl>
    <w:p w:rsidR="00F05DAE" w:rsidRPr="008818E9" w:rsidRDefault="00F05DAE">
      <w:pPr>
        <w:rPr>
          <w:rFonts w:ascii="Bookman Old Style" w:hAnsi="Bookman Old Style"/>
        </w:rPr>
      </w:pPr>
    </w:p>
    <w:p w:rsidR="00F05DAE" w:rsidRPr="008818E9" w:rsidRDefault="00994450">
      <w:pPr>
        <w:pStyle w:val="Heading1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  <w:sz w:val="32"/>
        </w:rPr>
        <w:lastRenderedPageBreak/>
        <w:t>2. Key Relationships</w:t>
      </w:r>
    </w:p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2229"/>
        <w:gridCol w:w="1732"/>
        <w:gridCol w:w="1973"/>
        <w:gridCol w:w="1732"/>
        <w:gridCol w:w="1264"/>
        <w:gridCol w:w="1095"/>
      </w:tblGrid>
      <w:tr w:rsidR="00F05DAE" w:rsidRPr="008818E9" w:rsidTr="008818E9">
        <w:tc>
          <w:tcPr>
            <w:tcW w:w="1959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From Table</w:t>
            </w:r>
          </w:p>
        </w:tc>
        <w:tc>
          <w:tcPr>
            <w:tcW w:w="1529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From Column</w:t>
            </w:r>
          </w:p>
        </w:tc>
        <w:tc>
          <w:tcPr>
            <w:tcW w:w="1738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To Table</w:t>
            </w:r>
          </w:p>
        </w:tc>
        <w:tc>
          <w:tcPr>
            <w:tcW w:w="1529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To Column</w:t>
            </w:r>
          </w:p>
        </w:tc>
        <w:tc>
          <w:tcPr>
            <w:tcW w:w="1124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Cardinality</w:t>
            </w:r>
          </w:p>
        </w:tc>
        <w:tc>
          <w:tcPr>
            <w:tcW w:w="1859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Filter Direction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Dim_Cost_Centre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VoteCode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Dim_Vote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VoteCode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RegionCode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Dim_Region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RegionCode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FundSourceCode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Dim_Fund_Source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FundSourceCode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DateKey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Dim_Date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DateKey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Fact_Expenditure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FinancialYear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Dim_Financial_Year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FinancialYear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Fact_Approved_Budget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Dim_Cost_Centre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Fact_Approved_Budget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VoteCode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Dim_Vote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VoteCode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Fact_Monthly_Budget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Dim_Cost_Centre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Fact_Commitments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Dim_Cost_Centre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CostCentreCode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Fact_Revenue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RegionCode</w:t>
            </w:r>
          </w:p>
        </w:tc>
        <w:tc>
          <w:tcPr>
            <w:tcW w:w="17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Dim_Region</w:t>
            </w:r>
          </w:p>
        </w:tc>
        <w:tc>
          <w:tcPr>
            <w:tcW w:w="152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RegionCode</w:t>
            </w:r>
          </w:p>
        </w:tc>
        <w:tc>
          <w:tcPr>
            <w:tcW w:w="1124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  <w:tr w:rsidR="00F05DAE" w:rsidRPr="008818E9" w:rsidTr="008818E9">
        <w:tc>
          <w:tcPr>
            <w:tcW w:w="19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Fact_Performance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DirectorateCode</w:t>
            </w:r>
          </w:p>
        </w:tc>
        <w:tc>
          <w:tcPr>
            <w:tcW w:w="17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Dim_Directorate</w:t>
            </w:r>
          </w:p>
        </w:tc>
        <w:tc>
          <w:tcPr>
            <w:tcW w:w="152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DirectorateCode</w:t>
            </w:r>
          </w:p>
        </w:tc>
        <w:tc>
          <w:tcPr>
            <w:tcW w:w="1124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Many-to-One</w:t>
            </w:r>
          </w:p>
        </w:tc>
        <w:tc>
          <w:tcPr>
            <w:tcW w:w="1859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Single</w:t>
            </w:r>
          </w:p>
        </w:tc>
      </w:tr>
    </w:tbl>
    <w:p w:rsidR="00F05DAE" w:rsidRPr="008818E9" w:rsidRDefault="00994450">
      <w:pPr>
        <w:pStyle w:val="Heading1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  <w:sz w:val="32"/>
        </w:rPr>
        <w:t>3. Data Dictionary (Key Fields)</w:t>
      </w:r>
    </w:p>
    <w:tbl>
      <w:tblPr>
        <w:tblStyle w:val="TableGrid"/>
        <w:tblW w:w="10008" w:type="dxa"/>
        <w:tblLayout w:type="fixed"/>
        <w:tblLook w:val="04A0" w:firstRow="1" w:lastRow="0" w:firstColumn="1" w:lastColumn="0" w:noHBand="0" w:noVBand="1"/>
      </w:tblPr>
      <w:tblGrid>
        <w:gridCol w:w="2463"/>
        <w:gridCol w:w="1335"/>
        <w:gridCol w:w="2070"/>
        <w:gridCol w:w="4140"/>
      </w:tblGrid>
      <w:tr w:rsidR="00F05DAE" w:rsidRPr="008818E9" w:rsidTr="008818E9">
        <w:tc>
          <w:tcPr>
            <w:tcW w:w="2463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Field</w:t>
            </w:r>
          </w:p>
        </w:tc>
        <w:tc>
          <w:tcPr>
            <w:tcW w:w="1335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Type</w:t>
            </w:r>
          </w:p>
        </w:tc>
        <w:tc>
          <w:tcPr>
            <w:tcW w:w="2070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Unit/Values</w:t>
            </w:r>
          </w:p>
        </w:tc>
        <w:tc>
          <w:tcPr>
            <w:tcW w:w="4140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Description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ApprovedAnnualAmount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KSh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Official approved budget for the financial year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NetAmount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KSh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Expenditure net of VAT (actual cash amount)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OutstandingCommitment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KSh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Commitment amount yet to be paid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OutstandingAmount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KSh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Invoice amount not yet paid (pending bills)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AgingDays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Days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Days elapsed since date received/commitment date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FYMonthNumber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Number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1-12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Financial year month number (July=1, June=12)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DataQualityFlag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Clean/Warning/Error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Data quality status from Power Query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RiskRating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Critical/High/Medium/Low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Risk severity classification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BudgetVersion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Original/Revised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Distinguishes approved vs supplementary-adjusted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CommitmentStatus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Open/Partially Invoiced etc.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Lifecycle stage of commitment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PaymentStatus</w:t>
            </w:r>
          </w:p>
        </w:tc>
        <w:tc>
          <w:tcPr>
            <w:tcW w:w="1335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 xml:space="preserve">Paid/Pending </w:t>
            </w:r>
            <w:r w:rsidRPr="008818E9">
              <w:rPr>
                <w:rFonts w:ascii="Bookman Old Style" w:hAnsi="Bookman Old Style"/>
                <w:sz w:val="18"/>
              </w:rPr>
              <w:t>Payment/Cancelled</w:t>
            </w:r>
          </w:p>
        </w:tc>
        <w:tc>
          <w:tcPr>
            <w:tcW w:w="414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Payment lifecycle stage</w:t>
            </w:r>
          </w:p>
        </w:tc>
      </w:tr>
      <w:tr w:rsidR="00F05DAE" w:rsidRPr="008818E9" w:rsidTr="008818E9">
        <w:tc>
          <w:tcPr>
            <w:tcW w:w="2463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PerformanceStatus</w:t>
            </w:r>
          </w:p>
        </w:tc>
        <w:tc>
          <w:tcPr>
            <w:tcW w:w="1335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Text</w:t>
            </w:r>
          </w:p>
        </w:tc>
        <w:tc>
          <w:tcPr>
            <w:tcW w:w="20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On Track/At Risk/Off Track</w:t>
            </w:r>
          </w:p>
        </w:tc>
        <w:tc>
          <w:tcPr>
            <w:tcW w:w="414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KPI performance classification</w:t>
            </w:r>
          </w:p>
        </w:tc>
      </w:tr>
    </w:tbl>
    <w:p w:rsidR="00F05DAE" w:rsidRPr="008818E9" w:rsidRDefault="00F05DAE">
      <w:pPr>
        <w:rPr>
          <w:rFonts w:ascii="Bookman Old Style" w:hAnsi="Bookman Old Style"/>
        </w:rPr>
      </w:pPr>
    </w:p>
    <w:p w:rsidR="00F05DAE" w:rsidRPr="008818E9" w:rsidRDefault="00994450">
      <w:pPr>
        <w:pStyle w:val="Heading1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  <w:sz w:val="32"/>
        </w:rPr>
        <w:lastRenderedPageBreak/>
        <w:t>4. Model Design Rules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1. Never use Fact_Approved_Budget as a cross-filter source into expenditure facts.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 xml:space="preserve">2. The Dim_Date table is </w:t>
      </w:r>
      <w:r w:rsidRPr="008818E9">
        <w:rPr>
          <w:rFonts w:ascii="Bookman Old Style" w:hAnsi="Bookman Old Style"/>
          <w:color w:val="2C3E50"/>
          <w:sz w:val="20"/>
        </w:rPr>
        <w:t>the single date spine — all date relationships go through DateKey.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3. Financial Year is a text field (e.g. FY2025/2026) to avoid calendar-year confusion.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4. FYMonthNumber (1=July, 12=June) is used for all time-intelligence month comparisons.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5. The approve</w:t>
      </w:r>
      <w:r w:rsidRPr="008818E9">
        <w:rPr>
          <w:rFonts w:ascii="Bookman Old Style" w:hAnsi="Bookman Old Style"/>
          <w:color w:val="2C3E50"/>
          <w:sz w:val="20"/>
        </w:rPr>
        <w:t>d budget table is protected — never silently replace with revised figures.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6. Commitments and expenditure are tracked separately; avoid double-counting in Total Exposure.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7. All currency amounts are in full Kenya Shillings. KSh000 and KShM columns are deri</w:t>
      </w:r>
      <w:r w:rsidRPr="008818E9">
        <w:rPr>
          <w:rFonts w:ascii="Bookman Old Style" w:hAnsi="Bookman Old Style"/>
          <w:color w:val="2C3E50"/>
          <w:sz w:val="20"/>
        </w:rPr>
        <w:t>ved.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8. Data quality exceptions are stored in a separate fact table (Fact_Data_Quality).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9. RAG thresholds are stored in a separate RAG_Thresholds query for configurability.</w:t>
      </w:r>
    </w:p>
    <w:p w:rsidR="00F05DAE" w:rsidRPr="008818E9" w:rsidRDefault="00994450" w:rsidP="008818E9">
      <w:pPr>
        <w:spacing w:after="0" w:line="240" w:lineRule="auto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2C3E50"/>
          <w:sz w:val="20"/>
        </w:rPr>
        <w:t>10. Bidirectional filtering is disabled by default to prevent ambiguous results.</w:t>
      </w:r>
    </w:p>
    <w:p w:rsidR="00F05DAE" w:rsidRPr="008818E9" w:rsidRDefault="00994450">
      <w:pPr>
        <w:pStyle w:val="Heading1"/>
        <w:rPr>
          <w:rFonts w:ascii="Bookman Old Style" w:hAnsi="Bookman Old Style"/>
        </w:rPr>
      </w:pPr>
      <w:r w:rsidRPr="008818E9">
        <w:rPr>
          <w:rFonts w:ascii="Bookman Old Style" w:hAnsi="Bookman Old Style"/>
          <w:color w:val="1B4332"/>
          <w:sz w:val="32"/>
        </w:rPr>
        <w:t>5</w:t>
      </w:r>
      <w:r w:rsidRPr="008818E9">
        <w:rPr>
          <w:rFonts w:ascii="Bookman Old Style" w:hAnsi="Bookman Old Style"/>
          <w:color w:val="1B4332"/>
          <w:sz w:val="32"/>
        </w:rPr>
        <w:t>. Implementation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922"/>
      </w:tblGrid>
      <w:tr w:rsidR="00F05DAE" w:rsidRPr="008818E9" w:rsidTr="008818E9">
        <w:tc>
          <w:tcPr>
            <w:tcW w:w="5238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Task</w:t>
            </w:r>
          </w:p>
        </w:tc>
        <w:tc>
          <w:tcPr>
            <w:tcW w:w="270" w:type="dxa"/>
            <w:shd w:val="clear" w:color="auto" w:fill="1B433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b/>
                <w:color w:val="FFFFFF"/>
                <w:sz w:val="18"/>
              </w:rPr>
              <w:t>Status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Import all 13 CSV files using Power Query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Done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Apply M transformations for each query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Done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Create all dimension tables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Done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Build Dim_Date manually in Power Query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Done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Set relationships as specified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Import DAX measures from DAX_Measures.txt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Apply Theme_JSON.json in Power BI View menu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Design 12 dashboard pages per wireframes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Configure RAG conditional formatting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Enable drill-through on Cost Centre page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 xml:space="preserve">Test </w:t>
            </w:r>
            <w:r w:rsidRPr="008818E9">
              <w:rPr>
                <w:rFonts w:ascii="Bookman Old Style" w:hAnsi="Bookman Old Style"/>
                <w:sz w:val="18"/>
              </w:rPr>
              <w:t>all reconciliation measures</w:t>
            </w:r>
          </w:p>
        </w:tc>
        <w:tc>
          <w:tcPr>
            <w:tcW w:w="270" w:type="dxa"/>
            <w:shd w:val="clear" w:color="auto" w:fill="F2F2F2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  <w:tr w:rsidR="00F05DAE" w:rsidRPr="008818E9" w:rsidTr="008818E9">
        <w:tc>
          <w:tcPr>
            <w:tcW w:w="5238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Publish to Power BI Service (if applicable)</w:t>
            </w:r>
          </w:p>
        </w:tc>
        <w:tc>
          <w:tcPr>
            <w:tcW w:w="270" w:type="dxa"/>
            <w:shd w:val="clear" w:color="auto" w:fill="FFFFFF"/>
          </w:tcPr>
          <w:p w:rsidR="00F05DAE" w:rsidRPr="008818E9" w:rsidRDefault="00994450">
            <w:pPr>
              <w:rPr>
                <w:rFonts w:ascii="Bookman Old Style" w:hAnsi="Bookman Old Style"/>
              </w:rPr>
            </w:pPr>
            <w:r w:rsidRPr="008818E9">
              <w:rPr>
                <w:rFonts w:ascii="Bookman Old Style" w:hAnsi="Bookman Old Style"/>
                <w:sz w:val="18"/>
              </w:rPr>
              <w:t>Pending</w:t>
            </w:r>
          </w:p>
        </w:tc>
      </w:tr>
    </w:tbl>
    <w:p w:rsidR="00994450" w:rsidRPr="008818E9" w:rsidRDefault="00994450">
      <w:pPr>
        <w:rPr>
          <w:rFonts w:ascii="Bookman Old Style" w:hAnsi="Bookman Old Style"/>
        </w:rPr>
      </w:pPr>
    </w:p>
    <w:sectPr w:rsidR="00994450" w:rsidRPr="008818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18E9"/>
    <w:rsid w:val="00994450"/>
    <w:rsid w:val="00AA1D8D"/>
    <w:rsid w:val="00B47730"/>
    <w:rsid w:val="00CB0664"/>
    <w:rsid w:val="00F05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19560"/>
  <w14:defaultImageDpi w14:val="300"/>
  <w15:docId w15:val="{E17785C8-BA54-4172-9C55-59E0A5468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365F6D-18FC-4BD8-86DE-AFF68B465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2026-06-20T09:17:00Z</dcterms:modified>
  <cp:category/>
</cp:coreProperties>
</file>