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C12" w:rsidRPr="00833BEE" w:rsidRDefault="009B3726" w:rsidP="00833BEE">
      <w:pPr>
        <w:pStyle w:val="Title"/>
        <w:spacing w:after="0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  <w:sz w:val="36"/>
        </w:rPr>
        <w:t>Parastatal X – Power BI Implementation Guide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b/>
          <w:color w:val="2C3E50"/>
        </w:rPr>
        <w:t>Complete step-by-step guide for building the Power BI dashboard</w:t>
      </w:r>
    </w:p>
    <w:p w:rsidR="006E3C12" w:rsidRPr="00833BEE" w:rsidRDefault="009B3726" w:rsidP="00833BEE">
      <w:pPr>
        <w:pStyle w:val="Heading1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  <w:sz w:val="32"/>
        </w:rPr>
        <w:t>1. Prerequisites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• Power BI Desktop (latest version recommended — June 2026 or later)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 xml:space="preserve">• All 13 CSV source files in a consistent folder (e.g. </w:t>
      </w:r>
      <w:r w:rsidRPr="00833BEE">
        <w:rPr>
          <w:rFonts w:ascii="Bookman Old Style" w:hAnsi="Bookman Old Style"/>
          <w:color w:val="2C3E50"/>
          <w:sz w:val="20"/>
        </w:rPr>
        <w:t>C:\ParastalX\Data\)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• DAX_Measures.txt, Power_Query_M_Code.txt, and Theme_JSON.json from the build pack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• Basic familiarity with Power Query and DAX</w:t>
      </w:r>
    </w:p>
    <w:p w:rsidR="006E3C12" w:rsidRPr="00833BEE" w:rsidRDefault="009B3726" w:rsidP="00833BEE">
      <w:pPr>
        <w:pStyle w:val="Heading1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  <w:sz w:val="32"/>
        </w:rPr>
        <w:t>2. Step-by-Step Build Instructions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1: Create new PBIX file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 xml:space="preserve">Open Power BI Desktop. File &gt; New. Save as </w:t>
      </w:r>
      <w:r w:rsidRPr="00833BEE">
        <w:rPr>
          <w:rFonts w:ascii="Bookman Old Style" w:hAnsi="Bookman Old Style"/>
          <w:color w:val="2C3E50"/>
          <w:sz w:val="20"/>
        </w:rPr>
        <w:t>Parastatal_X_Dashboard.pbix.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2: Apply theme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View &gt; Themes &gt; Browse for themes &gt; Select Theme_JSON.json. All colours will be applied automatically.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3: Import data — Approved Budget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Home &gt; Get Data &gt; Text/CSV &gt; Select Approved_Annual_Budget.csv. Ap</w:t>
      </w:r>
      <w:r w:rsidRPr="00833BEE">
        <w:rPr>
          <w:rFonts w:ascii="Bookman Old Style" w:hAnsi="Bookman Old Style"/>
          <w:color w:val="2C3E50"/>
          <w:sz w:val="20"/>
        </w:rPr>
        <w:t>ply M code from Power_Query_M_Code.txt.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4: Import all remaining CSV files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Repeat for all 13 source files. Rename each query to match the Fact_/Dim_ naming in the data model.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5: Build Dim_Date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New Query &gt; Blank Query &gt; Paste Dim_Date M code from P</w:t>
      </w:r>
      <w:r w:rsidRPr="00833BEE">
        <w:rPr>
          <w:rFonts w:ascii="Bookman Old Style" w:hAnsi="Bookman Old Style"/>
          <w:color w:val="2C3E50"/>
          <w:sz w:val="20"/>
        </w:rPr>
        <w:t>ower_Query_M_Code.txt. This generates all dates.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6: Build RAG_Thresholds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New Query &gt; Blank Query &gt; Paste RAG_Thresholds M code. This creates the configurable threshold table.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7: Close and Apply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Home &gt; Close &amp; Apply. All data loads into the model.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8: Create relationships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Model view &gt; Drag fields to create relationships as specified in Data_Model_Specification.docx. Set cardinality and filter direction as documented.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9: Import DAX measures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Open DAX_Measures.txt. In Power BI, create a new t</w:t>
      </w:r>
      <w:r w:rsidRPr="00833BEE">
        <w:rPr>
          <w:rFonts w:ascii="Bookman Old Style" w:hAnsi="Bookman Old Style"/>
          <w:color w:val="2C3E50"/>
          <w:sz w:val="20"/>
        </w:rPr>
        <w:t>able named [Budget Measures], [Expenditure Measures] etc. Paste each measure into the formula bar. Organise into display folders.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lastRenderedPageBreak/>
        <w:t>Step 10: Build Page 1 — Executive Overview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 xml:space="preserve">Insert 10 KPI cards for main metrics. Add waterfall chart (Budget &gt; Expenditure &gt; </w:t>
      </w:r>
      <w:r w:rsidRPr="00833BEE">
        <w:rPr>
          <w:rFonts w:ascii="Bookman Old Style" w:hAnsi="Bookman Old Style"/>
          <w:color w:val="2C3E50"/>
          <w:sz w:val="20"/>
        </w:rPr>
        <w:t>Balance). Add monthly trend line chart. Add RAG table for top exceptions. Add last refresh card.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11: Build remaining 11 pages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Follow page specifications in Dashboard_Wireframes section. Use the measure names from DAX_Measures.txt for all visuals.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</w:t>
      </w:r>
      <w:r w:rsidRPr="00833BEE">
        <w:rPr>
          <w:rFonts w:ascii="Bookman Old Style" w:hAnsi="Bookman Old Style"/>
          <w:color w:val="1B4332"/>
        </w:rPr>
        <w:t xml:space="preserve"> 12: Configure drill-through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On Page 11 (Cost Centre drill-through): Right-click the CostCentreCode field &gt; Add as drill-through field. All other pages will now link through to this detail page.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13: Configure conditional formatting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On all RAG indicato</w:t>
      </w:r>
      <w:r w:rsidRPr="00833BEE">
        <w:rPr>
          <w:rFonts w:ascii="Bookman Old Style" w:hAnsi="Bookman Old Style"/>
          <w:color w:val="2C3E50"/>
          <w:sz w:val="20"/>
        </w:rPr>
        <w:t>rs: Format &gt; Conditional formatting &gt; Field value &gt; Use RAG Status measures. Map Green=#27AE60, Amber=#E67E22, Red=#C0392B.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14: Test and validate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Cross-check all KPI card totals against Reconciliation_Results.csv. Verify filter interactions. Test dril</w:t>
      </w:r>
      <w:r w:rsidRPr="00833BEE">
        <w:rPr>
          <w:rFonts w:ascii="Bookman Old Style" w:hAnsi="Bookman Old Style"/>
          <w:color w:val="2C3E50"/>
          <w:sz w:val="20"/>
        </w:rPr>
        <w:t>l-through.</w:t>
      </w:r>
    </w:p>
    <w:p w:rsidR="006E3C12" w:rsidRPr="00833BEE" w:rsidRDefault="009B3726" w:rsidP="00833BEE">
      <w:pPr>
        <w:pStyle w:val="Heading2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</w:rPr>
        <w:t>Step 15: Publish (optional)</w:t>
      </w:r>
    </w:p>
    <w:p w:rsidR="006E3C12" w:rsidRPr="00833BEE" w:rsidRDefault="009B3726" w:rsidP="00833BEE">
      <w:pPr>
        <w:spacing w:after="0"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2C3E50"/>
          <w:sz w:val="20"/>
        </w:rPr>
        <w:t>File &gt; Publish to Power BI Service. Schedule data refresh if CSV files are in a shared location.</w:t>
      </w:r>
    </w:p>
    <w:p w:rsidR="006E3C12" w:rsidRPr="00833BEE" w:rsidRDefault="009B3726" w:rsidP="00833BEE">
      <w:pPr>
        <w:pStyle w:val="Heading1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  <w:sz w:val="32"/>
        </w:rPr>
        <w:t>3. Das</w:t>
      </w:r>
      <w:bookmarkStart w:id="0" w:name="_GoBack"/>
      <w:bookmarkEnd w:id="0"/>
      <w:r w:rsidRPr="00833BEE">
        <w:rPr>
          <w:rFonts w:ascii="Bookman Old Style" w:hAnsi="Bookman Old Style"/>
          <w:color w:val="1B4332"/>
          <w:sz w:val="32"/>
        </w:rPr>
        <w:t>hboard Page Specifications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828"/>
        <w:gridCol w:w="2880"/>
        <w:gridCol w:w="5670"/>
      </w:tblGrid>
      <w:tr w:rsidR="006E3C12" w:rsidRPr="00833BEE" w:rsidTr="00833BEE">
        <w:tc>
          <w:tcPr>
            <w:tcW w:w="828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Page</w:t>
            </w:r>
          </w:p>
        </w:tc>
        <w:tc>
          <w:tcPr>
            <w:tcW w:w="2880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Title</w:t>
            </w:r>
          </w:p>
        </w:tc>
        <w:tc>
          <w:tcPr>
            <w:tcW w:w="5670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Key Visuals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1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Executive Financial Overview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 xml:space="preserve">KPI cards (10), waterfall </w:t>
            </w:r>
            <w:r w:rsidRPr="00833BEE">
              <w:rPr>
                <w:rFonts w:ascii="Bookman Old Style" w:hAnsi="Bookman Old Style"/>
                <w:sz w:val="18"/>
              </w:rPr>
              <w:t>chart, monthly trend, regional ranking, management exceptions, last refresh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2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Budget Performance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Approved vs revised, monthly profile, cumulative lines, absorption by directorate/CC/vote, underutilised budgets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3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Budget Review Workflow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 xml:space="preserve">Request </w:t>
            </w:r>
            <w:r w:rsidRPr="00833BEE">
              <w:rPr>
                <w:rFonts w:ascii="Bookman Old Style" w:hAnsi="Bookman Old Style"/>
                <w:sz w:val="18"/>
              </w:rPr>
              <w:t>counts, amounts, aging table, status funnel, turnaround metrics, action register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4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Commitments and Cash Exposure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Open commitments, aging, by category, expected payment schedule, available balance after commits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5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Procurement Monitoring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Plan vs c</w:t>
            </w:r>
            <w:r w:rsidRPr="00833BEE">
              <w:rPr>
                <w:rFonts w:ascii="Bookman Old Style" w:hAnsi="Bookman Old Style"/>
                <w:sz w:val="18"/>
              </w:rPr>
              <w:t>ontract vs paid, by method/category, delayed procurements, risk table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6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Pending Bills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Total, by aging band, by reason, by directorate, bills &gt;90 days, payment forecast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7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Revenue and AIA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Budget vs actual, by stream/region, monthly trend, banking</w:t>
            </w:r>
            <w:r w:rsidRPr="00833BEE">
              <w:rPr>
                <w:rFonts w:ascii="Bookman Old Style" w:hAnsi="Bookman Old Style"/>
                <w:sz w:val="18"/>
              </w:rPr>
              <w:t xml:space="preserve"> delays, unreconciled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8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Performance and Value for Money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KPI vs budget, cost per output, 4-quadrant scatter plot, achievement table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9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Forecasting and Financial Risk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YE forecast, scenarios, required monthly spend, risk heatmap, forecast methodolo</w:t>
            </w:r>
            <w:r w:rsidRPr="00833BEE">
              <w:rPr>
                <w:rFonts w:ascii="Bookman Old Style" w:hAnsi="Bookman Old Style"/>
                <w:sz w:val="18"/>
              </w:rPr>
              <w:t>gy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10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Audit, Controls and Data Quality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Exceptions by type, amount at risk, repeat findings, DQ score, reconciliation status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11</w:t>
            </w:r>
          </w:p>
        </w:tc>
        <w:tc>
          <w:tcPr>
            <w:tcW w:w="28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Cost Centre Drill-Through</w:t>
            </w:r>
          </w:p>
        </w:tc>
        <w:tc>
          <w:tcPr>
            <w:tcW w:w="567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 xml:space="preserve">Full CC detail: budget, exp, commits, requests, bills, procurement, PI, exceptions, </w:t>
            </w:r>
            <w:r w:rsidRPr="00833BEE">
              <w:rPr>
                <w:rFonts w:ascii="Bookman Old Style" w:hAnsi="Bookman Old Style"/>
                <w:sz w:val="18"/>
              </w:rPr>
              <w:t>forecast</w:t>
            </w:r>
          </w:p>
        </w:tc>
      </w:tr>
      <w:tr w:rsidR="006E3C12" w:rsidRPr="00833BEE" w:rsidTr="00833BEE">
        <w:tc>
          <w:tcPr>
            <w:tcW w:w="8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Page 12</w:t>
            </w:r>
          </w:p>
        </w:tc>
        <w:tc>
          <w:tcPr>
            <w:tcW w:w="28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Management Action Register</w:t>
            </w:r>
          </w:p>
        </w:tc>
        <w:tc>
          <w:tcPr>
            <w:tcW w:w="567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Searchable table of all actions with status, responsible role, target date, comments</w:t>
            </w:r>
          </w:p>
        </w:tc>
      </w:tr>
    </w:tbl>
    <w:p w:rsidR="006E3C12" w:rsidRPr="00833BEE" w:rsidRDefault="009B3726" w:rsidP="00833BEE">
      <w:pPr>
        <w:pStyle w:val="Heading1"/>
        <w:spacing w:line="240" w:lineRule="auto"/>
        <w:rPr>
          <w:rFonts w:ascii="Bookman Old Style" w:hAnsi="Bookman Old Style"/>
        </w:rPr>
      </w:pPr>
      <w:r w:rsidRPr="00833BEE">
        <w:rPr>
          <w:rFonts w:ascii="Bookman Old Style" w:hAnsi="Bookman Old Style"/>
          <w:color w:val="1B4332"/>
          <w:sz w:val="32"/>
        </w:rPr>
        <w:lastRenderedPageBreak/>
        <w:t>4. RAG Conditional Formatting Rules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628"/>
        <w:gridCol w:w="3420"/>
        <w:gridCol w:w="1980"/>
        <w:gridCol w:w="1800"/>
      </w:tblGrid>
      <w:tr w:rsidR="006E3C12" w:rsidRPr="00833BEE" w:rsidTr="00833BEE">
        <w:tc>
          <w:tcPr>
            <w:tcW w:w="2628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Metric</w:t>
            </w:r>
          </w:p>
        </w:tc>
        <w:tc>
          <w:tcPr>
            <w:tcW w:w="3420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Green</w:t>
            </w:r>
          </w:p>
        </w:tc>
        <w:tc>
          <w:tcPr>
            <w:tcW w:w="1980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Amber</w:t>
            </w:r>
          </w:p>
        </w:tc>
        <w:tc>
          <w:tcPr>
            <w:tcW w:w="1800" w:type="dxa"/>
            <w:shd w:val="clear" w:color="auto" w:fill="1B433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b/>
                <w:color w:val="FFFFFF"/>
                <w:sz w:val="18"/>
              </w:rPr>
              <w:t>Red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Budget Absorption</w:t>
            </w:r>
          </w:p>
        </w:tc>
        <w:tc>
          <w:tcPr>
            <w:tcW w:w="342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within ±10% of time-elapsed</w:t>
            </w:r>
          </w:p>
        </w:tc>
        <w:tc>
          <w:tcPr>
            <w:tcW w:w="19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 xml:space="preserve">Amber: </w:t>
            </w:r>
            <w:r w:rsidRPr="00833BEE">
              <w:rPr>
                <w:rFonts w:ascii="Bookman Old Style" w:hAnsi="Bookman Old Style"/>
                <w:sz w:val="18"/>
              </w:rPr>
              <w:t>10-20% gap</w:t>
            </w:r>
          </w:p>
        </w:tc>
        <w:tc>
          <w:tcPr>
            <w:tcW w:w="180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&gt;20% gap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Forecast Over-Expenditure</w:t>
            </w:r>
          </w:p>
        </w:tc>
        <w:tc>
          <w:tcPr>
            <w:tcW w:w="342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≤100% of budget</w:t>
            </w:r>
          </w:p>
        </w:tc>
        <w:tc>
          <w:tcPr>
            <w:tcW w:w="19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Amber: 100-105%</w:t>
            </w:r>
          </w:p>
        </w:tc>
        <w:tc>
          <w:tcPr>
            <w:tcW w:w="180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&gt;105%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Request Aging</w:t>
            </w:r>
          </w:p>
        </w:tc>
        <w:tc>
          <w:tcPr>
            <w:tcW w:w="342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0-14 days</w:t>
            </w:r>
          </w:p>
        </w:tc>
        <w:tc>
          <w:tcPr>
            <w:tcW w:w="19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Amber: 15-30 days</w:t>
            </w:r>
          </w:p>
        </w:tc>
        <w:tc>
          <w:tcPr>
            <w:tcW w:w="180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&gt;30 days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Pending Bills Aging</w:t>
            </w:r>
          </w:p>
        </w:tc>
        <w:tc>
          <w:tcPr>
            <w:tcW w:w="342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0-30 days</w:t>
            </w:r>
          </w:p>
        </w:tc>
        <w:tc>
          <w:tcPr>
            <w:tcW w:w="19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Amber: 31-90 days</w:t>
            </w:r>
          </w:p>
        </w:tc>
        <w:tc>
          <w:tcPr>
            <w:tcW w:w="180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&gt;90 days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Data Quality Score</w:t>
            </w:r>
          </w:p>
        </w:tc>
        <w:tc>
          <w:tcPr>
            <w:tcW w:w="342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≥98%</w:t>
            </w:r>
          </w:p>
        </w:tc>
        <w:tc>
          <w:tcPr>
            <w:tcW w:w="198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Amber: 95-98%</w:t>
            </w:r>
          </w:p>
        </w:tc>
        <w:tc>
          <w:tcPr>
            <w:tcW w:w="1800" w:type="dxa"/>
            <w:shd w:val="clear" w:color="auto" w:fill="F2F2F2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&lt;95%</w:t>
            </w:r>
          </w:p>
        </w:tc>
      </w:tr>
      <w:tr w:rsidR="006E3C12" w:rsidRPr="00833BEE" w:rsidTr="00833BEE">
        <w:tc>
          <w:tcPr>
            <w:tcW w:w="2628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Revenue Achievement</w:t>
            </w:r>
          </w:p>
        </w:tc>
        <w:tc>
          <w:tcPr>
            <w:tcW w:w="342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Green: ≥90%</w:t>
            </w:r>
          </w:p>
        </w:tc>
        <w:tc>
          <w:tcPr>
            <w:tcW w:w="198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Amber: 70-90%</w:t>
            </w:r>
          </w:p>
        </w:tc>
        <w:tc>
          <w:tcPr>
            <w:tcW w:w="1800" w:type="dxa"/>
            <w:shd w:val="clear" w:color="auto" w:fill="FFFFFF"/>
          </w:tcPr>
          <w:p w:rsidR="006E3C12" w:rsidRPr="00833BEE" w:rsidRDefault="009B3726" w:rsidP="00833BEE">
            <w:pPr>
              <w:rPr>
                <w:rFonts w:ascii="Bookman Old Style" w:hAnsi="Bookman Old Style"/>
              </w:rPr>
            </w:pPr>
            <w:r w:rsidRPr="00833BEE">
              <w:rPr>
                <w:rFonts w:ascii="Bookman Old Style" w:hAnsi="Bookman Old Style"/>
                <w:sz w:val="18"/>
              </w:rPr>
              <w:t>Red: &lt;70%</w:t>
            </w:r>
          </w:p>
        </w:tc>
      </w:tr>
    </w:tbl>
    <w:p w:rsidR="009B3726" w:rsidRPr="00833BEE" w:rsidRDefault="009B3726" w:rsidP="00833BEE">
      <w:pPr>
        <w:spacing w:after="0" w:line="240" w:lineRule="auto"/>
        <w:rPr>
          <w:rFonts w:ascii="Bookman Old Style" w:hAnsi="Bookman Old Style"/>
        </w:rPr>
      </w:pPr>
    </w:p>
    <w:sectPr w:rsidR="009B3726" w:rsidRPr="00833B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C12"/>
    <w:rsid w:val="00833BEE"/>
    <w:rsid w:val="009B37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38514"/>
  <w14:defaultImageDpi w14:val="300"/>
  <w15:docId w15:val="{8CEDD291-EB88-4F19-B234-CFDC40B0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39EEC-7C34-4C45-BB56-448DD280B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2026-06-20T09:20:00Z</dcterms:modified>
  <cp:category/>
</cp:coreProperties>
</file>