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52E" w:rsidRPr="007C256C" w:rsidRDefault="007C256C" w:rsidP="007C256C">
      <w:pPr>
        <w:pStyle w:val="Title"/>
        <w:spacing w:after="0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1B4332"/>
        </w:rPr>
        <w:t>Parastatal X – Exploratory Data Analysis Report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  <w:color w:val="8064A2" w:themeColor="accent4"/>
        </w:rPr>
      </w:pPr>
      <w:r w:rsidRPr="007C256C">
        <w:rPr>
          <w:rFonts w:ascii="Bookman Old Style" w:hAnsi="Bookman Old Style"/>
          <w:i/>
          <w:color w:val="8064A2" w:themeColor="accent4"/>
          <w:sz w:val="20"/>
        </w:rPr>
        <w:t>FY2023/2024 to FY2025/2026 | Cut-off: 31 May 2026 | Synthetic Data</w:t>
      </w:r>
    </w:p>
    <w:p w:rsidR="0080752E" w:rsidRPr="007C256C" w:rsidRDefault="007C256C" w:rsidP="007C256C">
      <w:pPr>
        <w:pStyle w:val="Heading1"/>
        <w:spacing w:before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1B4332"/>
          <w:sz w:val="32"/>
        </w:rPr>
        <w:t>1. Dataset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548"/>
        <w:gridCol w:w="2160"/>
        <w:gridCol w:w="2880"/>
      </w:tblGrid>
      <w:tr w:rsidR="0080752E" w:rsidRPr="007C256C" w:rsidTr="007C256C">
        <w:tc>
          <w:tcPr>
            <w:tcW w:w="2160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Dataset</w:t>
            </w:r>
          </w:p>
        </w:tc>
        <w:tc>
          <w:tcPr>
            <w:tcW w:w="1548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Volume</w:t>
            </w:r>
          </w:p>
        </w:tc>
        <w:tc>
          <w:tcPr>
            <w:tcW w:w="2160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Coverage</w:t>
            </w:r>
          </w:p>
        </w:tc>
        <w:tc>
          <w:tcPr>
            <w:tcW w:w="2880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Key Finding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Approved Annual Budget</w:t>
            </w:r>
          </w:p>
        </w:tc>
        <w:tc>
          <w:tcPr>
            <w:tcW w:w="15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96 rows</w:t>
            </w:r>
          </w:p>
        </w:tc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3 FYs × 32 cost centres</w:t>
            </w:r>
          </w:p>
        </w:tc>
        <w:tc>
          <w:tcPr>
            <w:tcW w:w="28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 xml:space="preserve">KSh 4,650,000,000 total </w:t>
            </w:r>
            <w:r w:rsidRPr="007C256C">
              <w:rPr>
                <w:rFonts w:ascii="Bookman Old Style" w:hAnsi="Bookman Old Style"/>
                <w:sz w:val="18"/>
              </w:rPr>
              <w:t>across 3 FYs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Monthly Budget Allocation</w:t>
            </w:r>
          </w:p>
        </w:tc>
        <w:tc>
          <w:tcPr>
            <w:tcW w:w="15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1,152 rows</w:t>
            </w:r>
          </w:p>
        </w:tc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3 FYs × 32 CCs × 12 months</w:t>
            </w:r>
          </w:p>
        </w:tc>
        <w:tc>
          <w:tcPr>
            <w:tcW w:w="28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Reconciles to annual approved budget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Supplementary Budget</w:t>
            </w:r>
          </w:p>
        </w:tc>
        <w:tc>
          <w:tcPr>
            <w:tcW w:w="15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209 rows</w:t>
            </w:r>
          </w:p>
        </w:tc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60-90 per FY</w:t>
            </w:r>
          </w:p>
        </w:tc>
        <w:tc>
          <w:tcPr>
            <w:tcW w:w="28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Mix of increases (65%) and reductions (35%)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Budget Reallocations</w:t>
            </w:r>
          </w:p>
        </w:tc>
        <w:tc>
          <w:tcPr>
            <w:tcW w:w="15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224 rows</w:t>
            </w:r>
          </w:p>
        </w:tc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60-100 per FY</w:t>
            </w:r>
          </w:p>
        </w:tc>
        <w:tc>
          <w:tcPr>
            <w:tcW w:w="28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 xml:space="preserve">75% </w:t>
            </w:r>
            <w:r w:rsidRPr="007C256C">
              <w:rPr>
                <w:rFonts w:ascii="Bookman Old Style" w:hAnsi="Bookman Old Style"/>
                <w:sz w:val="18"/>
              </w:rPr>
              <w:t>approved; 25% pending/rejected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Expenditure Transactions</w:t>
            </w:r>
          </w:p>
        </w:tc>
        <w:tc>
          <w:tcPr>
            <w:tcW w:w="15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12,100 rows</w:t>
            </w:r>
          </w:p>
        </w:tc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~4,033 per FY on average</w:t>
            </w:r>
          </w:p>
        </w:tc>
        <w:tc>
          <w:tcPr>
            <w:tcW w:w="28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KSh 4,134,987,100 total across 3 FYs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Commitments</w:t>
            </w:r>
          </w:p>
        </w:tc>
        <w:tc>
          <w:tcPr>
            <w:tcW w:w="15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1,350 rows</w:t>
            </w:r>
          </w:p>
        </w:tc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~450 per FY</w:t>
            </w:r>
          </w:p>
        </w:tc>
        <w:tc>
          <w:tcPr>
            <w:tcW w:w="28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Open commitments: KSh 700M (FY25/26)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Budget Review Requests</w:t>
            </w:r>
          </w:p>
        </w:tc>
        <w:tc>
          <w:tcPr>
            <w:tcW w:w="15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1,000 rows</w:t>
            </w:r>
          </w:p>
        </w:tc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~333 per FY</w:t>
            </w:r>
          </w:p>
        </w:tc>
        <w:tc>
          <w:tcPr>
            <w:tcW w:w="28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1,000</w:t>
            </w:r>
            <w:r w:rsidRPr="007C256C">
              <w:rPr>
                <w:rFonts w:ascii="Bookman Old Style" w:hAnsi="Bookman Old Style"/>
                <w:sz w:val="18"/>
              </w:rPr>
              <w:t xml:space="preserve"> requests; significant backlog identified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Procurement Plan</w:t>
            </w:r>
          </w:p>
        </w:tc>
        <w:tc>
          <w:tcPr>
            <w:tcW w:w="15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390 rows</w:t>
            </w:r>
          </w:p>
        </w:tc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~130 per FY</w:t>
            </w:r>
          </w:p>
        </w:tc>
        <w:tc>
          <w:tcPr>
            <w:tcW w:w="28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12 contracts delayed &gt;45 days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Pending Bills</w:t>
            </w:r>
          </w:p>
        </w:tc>
        <w:tc>
          <w:tcPr>
            <w:tcW w:w="15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520 rows</w:t>
            </w:r>
          </w:p>
        </w:tc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~173 per FY</w:t>
            </w:r>
          </w:p>
        </w:tc>
        <w:tc>
          <w:tcPr>
            <w:tcW w:w="28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KSh 1,121,712,000 outstanding (FY25/26)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Revenue and AIA</w:t>
            </w:r>
          </w:p>
        </w:tc>
        <w:tc>
          <w:tcPr>
            <w:tcW w:w="15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1,140 rows</w:t>
            </w:r>
          </w:p>
        </w:tc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~380 per FY</w:t>
            </w:r>
          </w:p>
        </w:tc>
        <w:tc>
          <w:tcPr>
            <w:tcW w:w="28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KSh 979,529,000 actual vs KSh</w:t>
            </w:r>
            <w:r w:rsidRPr="007C256C">
              <w:rPr>
                <w:rFonts w:ascii="Bookman Old Style" w:hAnsi="Bookman Old Style"/>
                <w:sz w:val="18"/>
              </w:rPr>
              <w:t xml:space="preserve"> 1,110,412,000 budget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Performance Indicators</w:t>
            </w:r>
          </w:p>
        </w:tc>
        <w:tc>
          <w:tcPr>
            <w:tcW w:w="15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165 rows</w:t>
            </w:r>
          </w:p>
        </w:tc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15 indicators × 3 FYs × 3-4 qtrs</w:t>
            </w:r>
          </w:p>
        </w:tc>
        <w:tc>
          <w:tcPr>
            <w:tcW w:w="28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Average achievement: ~88%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Audit Control Exceptions</w:t>
            </w:r>
          </w:p>
        </w:tc>
        <w:tc>
          <w:tcPr>
            <w:tcW w:w="15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300 rows</w:t>
            </w:r>
          </w:p>
        </w:tc>
        <w:tc>
          <w:tcPr>
            <w:tcW w:w="216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~100 per FY</w:t>
            </w:r>
          </w:p>
        </w:tc>
        <w:tc>
          <w:tcPr>
            <w:tcW w:w="28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~35% resolved; 20% repeat findings</w:t>
            </w:r>
          </w:p>
        </w:tc>
      </w:tr>
      <w:tr w:rsidR="0080752E" w:rsidRPr="007C256C" w:rsidTr="007C256C"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Data Quality Log</w:t>
            </w:r>
          </w:p>
        </w:tc>
        <w:tc>
          <w:tcPr>
            <w:tcW w:w="15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250 rows</w:t>
            </w:r>
          </w:p>
        </w:tc>
        <w:tc>
          <w:tcPr>
            <w:tcW w:w="216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Across all datasets</w:t>
            </w:r>
          </w:p>
        </w:tc>
        <w:tc>
          <w:tcPr>
            <w:tcW w:w="28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 xml:space="preserve">~65% </w:t>
            </w:r>
            <w:r w:rsidRPr="007C256C">
              <w:rPr>
                <w:rFonts w:ascii="Bookman Old Style" w:hAnsi="Bookman Old Style"/>
                <w:sz w:val="18"/>
              </w:rPr>
              <w:t>resolved; 18 Critical issues</w:t>
            </w:r>
          </w:p>
        </w:tc>
      </w:tr>
    </w:tbl>
    <w:p w:rsidR="0080752E" w:rsidRPr="007C256C" w:rsidRDefault="0080752E" w:rsidP="007C256C">
      <w:pPr>
        <w:spacing w:after="0" w:line="240" w:lineRule="auto"/>
        <w:rPr>
          <w:rFonts w:ascii="Bookman Old Style" w:hAnsi="Bookman Old Style"/>
        </w:rPr>
      </w:pPr>
    </w:p>
    <w:p w:rsidR="0080752E" w:rsidRPr="007C256C" w:rsidRDefault="007C256C" w:rsidP="007C256C">
      <w:pPr>
        <w:pStyle w:val="Heading1"/>
        <w:spacing w:before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1B4332"/>
          <w:sz w:val="32"/>
        </w:rPr>
        <w:t>2. Key Positive Findings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Segoe UI Symbol" w:hAnsi="Segoe UI Symbol" w:cs="Segoe UI Symbol"/>
          <w:b/>
          <w:color w:val="2C3E50"/>
          <w:sz w:val="20"/>
        </w:rPr>
        <w:t>✓</w:t>
      </w:r>
      <w:r w:rsidRPr="007C256C">
        <w:rPr>
          <w:rFonts w:ascii="Bookman Old Style" w:hAnsi="Bookman Old Style"/>
          <w:b/>
          <w:color w:val="2C3E50"/>
          <w:sz w:val="20"/>
        </w:rPr>
        <w:t xml:space="preserve"> Budget reconciliation accuracy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2C3E50"/>
          <w:sz w:val="20"/>
        </w:rPr>
        <w:t>All monthly allocations reconcile exactly to approved annual budgets across all 3 financial years. Zero reconciliation difference. Demonstrates strong budget managemen</w:t>
      </w:r>
      <w:r w:rsidRPr="007C256C">
        <w:rPr>
          <w:rFonts w:ascii="Bookman Old Style" w:hAnsi="Bookman Old Style"/>
          <w:color w:val="2C3E50"/>
          <w:sz w:val="20"/>
        </w:rPr>
        <w:t>t discipline.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Segoe UI Symbol" w:hAnsi="Segoe UI Symbol" w:cs="Segoe UI Symbol"/>
          <w:b/>
          <w:color w:val="2C3E50"/>
          <w:sz w:val="20"/>
        </w:rPr>
        <w:t>✓</w:t>
      </w:r>
      <w:r w:rsidRPr="007C256C">
        <w:rPr>
          <w:rFonts w:ascii="Bookman Old Style" w:hAnsi="Bookman Old Style"/>
          <w:b/>
          <w:color w:val="2C3E50"/>
          <w:sz w:val="20"/>
        </w:rPr>
        <w:t xml:space="preserve"> FY2025/2026 expenditure growth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2C3E50"/>
          <w:sz w:val="20"/>
        </w:rPr>
        <w:t xml:space="preserve">YTD expenditure of KSh 1,478,365,800 represents 10.3% year-on-year growth from FY2024/2025 (KSh 1,338,255,800). This is consistent with the budget growth trajectory and </w:t>
      </w:r>
      <w:proofErr w:type="spellStart"/>
      <w:r w:rsidRPr="007C256C">
        <w:rPr>
          <w:rFonts w:ascii="Bookman Old Style" w:hAnsi="Bookman Old Style"/>
          <w:color w:val="2C3E50"/>
          <w:sz w:val="20"/>
        </w:rPr>
        <w:t>organisational</w:t>
      </w:r>
      <w:proofErr w:type="spellEnd"/>
      <w:r w:rsidRPr="007C256C">
        <w:rPr>
          <w:rFonts w:ascii="Bookman Old Style" w:hAnsi="Bookman Old Style"/>
          <w:color w:val="2C3E50"/>
          <w:sz w:val="20"/>
        </w:rPr>
        <w:t xml:space="preserve"> expansion.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Segoe UI Symbol" w:hAnsi="Segoe UI Symbol" w:cs="Segoe UI Symbol"/>
          <w:b/>
          <w:color w:val="2C3E50"/>
          <w:sz w:val="20"/>
        </w:rPr>
        <w:t>✓</w:t>
      </w:r>
      <w:r w:rsidRPr="007C256C">
        <w:rPr>
          <w:rFonts w:ascii="Bookman Old Style" w:hAnsi="Bookman Old Style"/>
          <w:b/>
          <w:color w:val="2C3E50"/>
          <w:sz w:val="20"/>
        </w:rPr>
        <w:t xml:space="preserve"> Revenue </w:t>
      </w:r>
      <w:r w:rsidRPr="007C256C">
        <w:rPr>
          <w:rFonts w:ascii="Bookman Old Style" w:hAnsi="Bookman Old Style"/>
          <w:b/>
          <w:color w:val="2C3E50"/>
          <w:sz w:val="20"/>
        </w:rPr>
        <w:t>stream diversification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2C3E50"/>
          <w:sz w:val="20"/>
        </w:rPr>
        <w:t>Eight revenue streams are active across all 8 regions. Service Fees and Licensing Fees together account for ~58% of actual revenue collections, providing a diversified revenue base.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Segoe UI Symbol" w:hAnsi="Segoe UI Symbol" w:cs="Segoe UI Symbol"/>
          <w:b/>
          <w:color w:val="2C3E50"/>
          <w:sz w:val="20"/>
        </w:rPr>
        <w:t>✓</w:t>
      </w:r>
      <w:r w:rsidRPr="007C256C">
        <w:rPr>
          <w:rFonts w:ascii="Bookman Old Style" w:hAnsi="Bookman Old Style"/>
          <w:b/>
          <w:color w:val="2C3E50"/>
          <w:sz w:val="20"/>
        </w:rPr>
        <w:t xml:space="preserve"> Commitment payment discipline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2C3E50"/>
          <w:sz w:val="20"/>
        </w:rPr>
        <w:t>The majority of co</w:t>
      </w:r>
      <w:r w:rsidRPr="007C256C">
        <w:rPr>
          <w:rFonts w:ascii="Bookman Old Style" w:hAnsi="Bookman Old Style"/>
          <w:color w:val="2C3E50"/>
          <w:sz w:val="20"/>
        </w:rPr>
        <w:t>mmitments (&gt;75%) are within normal payment timelines. The commitment register is actively maintained with clear status tracking.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Segoe UI Symbol" w:hAnsi="Segoe UI Symbol" w:cs="Segoe UI Symbol"/>
          <w:b/>
          <w:color w:val="2C3E50"/>
          <w:sz w:val="20"/>
        </w:rPr>
        <w:t>✓</w:t>
      </w:r>
      <w:r w:rsidRPr="007C256C">
        <w:rPr>
          <w:rFonts w:ascii="Bookman Old Style" w:hAnsi="Bookman Old Style"/>
          <w:b/>
          <w:color w:val="2C3E50"/>
          <w:sz w:val="20"/>
        </w:rPr>
        <w:t xml:space="preserve"> High-performing directorates</w:t>
      </w:r>
    </w:p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2C3E50"/>
          <w:sz w:val="20"/>
        </w:rPr>
        <w:t>Finance and Accounts, ICT, and HR Directorates consistently achieve &gt;90% absorption, demonstrat</w:t>
      </w:r>
      <w:r w:rsidRPr="007C256C">
        <w:rPr>
          <w:rFonts w:ascii="Bookman Old Style" w:hAnsi="Bookman Old Style"/>
          <w:color w:val="2C3E50"/>
          <w:sz w:val="20"/>
        </w:rPr>
        <w:t>ing strong budget execution in headquarters functions.</w:t>
      </w:r>
    </w:p>
    <w:p w:rsidR="0080752E" w:rsidRPr="007C256C" w:rsidRDefault="007C256C" w:rsidP="007C256C">
      <w:pPr>
        <w:pStyle w:val="Heading1"/>
        <w:spacing w:before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1B4332"/>
          <w:sz w:val="32"/>
        </w:rPr>
        <w:lastRenderedPageBreak/>
        <w:t xml:space="preserve">3. </w:t>
      </w:r>
      <w:bookmarkStart w:id="0" w:name="_GoBack"/>
      <w:bookmarkEnd w:id="0"/>
      <w:r w:rsidRPr="007C256C">
        <w:rPr>
          <w:rFonts w:ascii="Bookman Old Style" w:hAnsi="Bookman Old Style"/>
          <w:color w:val="1B4332"/>
          <w:sz w:val="32"/>
        </w:rPr>
        <w:t>Key Financial Risks Identified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143"/>
        <w:gridCol w:w="2015"/>
        <w:gridCol w:w="1043"/>
        <w:gridCol w:w="4087"/>
      </w:tblGrid>
      <w:tr w:rsidR="0080752E" w:rsidRPr="007C256C" w:rsidTr="007C256C">
        <w:tc>
          <w:tcPr>
            <w:tcW w:w="2143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Risk</w:t>
            </w:r>
          </w:p>
        </w:tc>
        <w:tc>
          <w:tcPr>
            <w:tcW w:w="2015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Amount</w:t>
            </w:r>
          </w:p>
        </w:tc>
        <w:tc>
          <w:tcPr>
            <w:tcW w:w="1043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Level</w:t>
            </w:r>
          </w:p>
        </w:tc>
        <w:tc>
          <w:tcPr>
            <w:tcW w:w="4087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Root Cause</w:t>
            </w:r>
          </w:p>
        </w:tc>
      </w:tr>
      <w:tr w:rsidR="0080752E" w:rsidRPr="007C256C" w:rsidTr="007C256C">
        <w:tc>
          <w:tcPr>
            <w:tcW w:w="2143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Over-expenditure forecast</w:t>
            </w:r>
          </w:p>
        </w:tc>
        <w:tc>
          <w:tcPr>
            <w:tcW w:w="2015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KSh 63,490,330</w:t>
            </w:r>
          </w:p>
        </w:tc>
        <w:tc>
          <w:tcPr>
            <w:tcW w:w="1043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High</w:t>
            </w:r>
          </w:p>
        </w:tc>
        <w:tc>
          <w:tcPr>
            <w:tcW w:w="4087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Projects &amp; Infrastructure absorbing too fast in some lines while others lag</w:t>
            </w:r>
          </w:p>
        </w:tc>
      </w:tr>
      <w:tr w:rsidR="0080752E" w:rsidRPr="007C256C" w:rsidTr="007C256C">
        <w:tc>
          <w:tcPr>
            <w:tcW w:w="2143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 xml:space="preserve">Open </w:t>
            </w:r>
            <w:r w:rsidRPr="007C256C">
              <w:rPr>
                <w:rFonts w:ascii="Bookman Old Style" w:hAnsi="Bookman Old Style"/>
                <w:sz w:val="18"/>
              </w:rPr>
              <w:t>commitment exposure</w:t>
            </w:r>
          </w:p>
        </w:tc>
        <w:tc>
          <w:tcPr>
            <w:tcW w:w="2015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KSh 700,000,000</w:t>
            </w:r>
          </w:p>
        </w:tc>
        <w:tc>
          <w:tcPr>
            <w:tcW w:w="1043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High</w:t>
            </w:r>
          </w:p>
        </w:tc>
        <w:tc>
          <w:tcPr>
            <w:tcW w:w="4087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Procurement-heavy directorates; year-end payment pressure</w:t>
            </w:r>
          </w:p>
        </w:tc>
      </w:tr>
      <w:tr w:rsidR="0080752E" w:rsidRPr="007C256C" w:rsidTr="007C256C">
        <w:tc>
          <w:tcPr>
            <w:tcW w:w="2143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Revenue underperformance</w:t>
            </w:r>
          </w:p>
        </w:tc>
        <w:tc>
          <w:tcPr>
            <w:tcW w:w="2015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KSh -130,883,000</w:t>
            </w:r>
          </w:p>
        </w:tc>
        <w:tc>
          <w:tcPr>
            <w:tcW w:w="1043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Medium</w:t>
            </w:r>
          </w:p>
        </w:tc>
        <w:tc>
          <w:tcPr>
            <w:tcW w:w="4087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Training and consultancy income below target</w:t>
            </w:r>
          </w:p>
        </w:tc>
      </w:tr>
      <w:tr w:rsidR="0080752E" w:rsidRPr="007C256C" w:rsidTr="007C256C">
        <w:tc>
          <w:tcPr>
            <w:tcW w:w="2143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Pending bills backlog</w:t>
            </w:r>
          </w:p>
        </w:tc>
        <w:tc>
          <w:tcPr>
            <w:tcW w:w="2015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KSh 1,121,712,000</w:t>
            </w:r>
          </w:p>
        </w:tc>
        <w:tc>
          <w:tcPr>
            <w:tcW w:w="1043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High</w:t>
            </w:r>
          </w:p>
        </w:tc>
        <w:tc>
          <w:tcPr>
            <w:tcW w:w="4087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 xml:space="preserve">Documentation </w:t>
            </w:r>
            <w:r w:rsidRPr="007C256C">
              <w:rPr>
                <w:rFonts w:ascii="Bookman Old Style" w:hAnsi="Bookman Old Style"/>
                <w:sz w:val="18"/>
              </w:rPr>
              <w:t>and budget insufficiency are top reasons</w:t>
            </w:r>
          </w:p>
        </w:tc>
      </w:tr>
      <w:tr w:rsidR="0080752E" w:rsidRPr="007C256C" w:rsidTr="007C256C">
        <w:tc>
          <w:tcPr>
            <w:tcW w:w="2143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Unprocessed AIE requests</w:t>
            </w:r>
          </w:p>
        </w:tc>
        <w:tc>
          <w:tcPr>
            <w:tcW w:w="2015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KSh 2,477,786,000</w:t>
            </w:r>
          </w:p>
        </w:tc>
        <w:tc>
          <w:tcPr>
            <w:tcW w:w="1043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High</w:t>
            </w:r>
          </w:p>
        </w:tc>
        <w:tc>
          <w:tcPr>
            <w:tcW w:w="4087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Processing bottleneck at budget office level</w:t>
            </w:r>
          </w:p>
        </w:tc>
      </w:tr>
    </w:tbl>
    <w:p w:rsidR="0080752E" w:rsidRPr="007C256C" w:rsidRDefault="0080752E" w:rsidP="007C256C">
      <w:pPr>
        <w:spacing w:after="0" w:line="240" w:lineRule="auto"/>
        <w:rPr>
          <w:rFonts w:ascii="Bookman Old Style" w:hAnsi="Bookman Old Style"/>
        </w:rPr>
      </w:pPr>
    </w:p>
    <w:p w:rsidR="0080752E" w:rsidRPr="007C256C" w:rsidRDefault="007C256C" w:rsidP="007C256C">
      <w:pPr>
        <w:pStyle w:val="Heading1"/>
        <w:spacing w:before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1B4332"/>
          <w:sz w:val="32"/>
        </w:rPr>
        <w:t>4. Absorption Analysis by Directorate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3348"/>
        <w:gridCol w:w="1620"/>
        <w:gridCol w:w="990"/>
        <w:gridCol w:w="3420"/>
      </w:tblGrid>
      <w:tr w:rsidR="0080752E" w:rsidRPr="007C256C" w:rsidTr="007C256C">
        <w:tc>
          <w:tcPr>
            <w:tcW w:w="3348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Directorate</w:t>
            </w:r>
          </w:p>
        </w:tc>
        <w:tc>
          <w:tcPr>
            <w:tcW w:w="1620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Absorption %</w:t>
            </w:r>
          </w:p>
        </w:tc>
        <w:tc>
          <w:tcPr>
            <w:tcW w:w="990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RAG</w:t>
            </w:r>
          </w:p>
        </w:tc>
        <w:tc>
          <w:tcPr>
            <w:tcW w:w="3420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Comment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DIR-02 Finance and Accounts</w:t>
            </w:r>
          </w:p>
        </w:tc>
        <w:tc>
          <w:tcPr>
            <w:tcW w:w="16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92.1%</w:t>
            </w:r>
          </w:p>
        </w:tc>
        <w:tc>
          <w:tcPr>
            <w:tcW w:w="99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Green</w:t>
            </w:r>
          </w:p>
        </w:tc>
        <w:tc>
          <w:tcPr>
            <w:tcW w:w="34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 xml:space="preserve">On </w:t>
            </w:r>
            <w:r w:rsidRPr="007C256C">
              <w:rPr>
                <w:rFonts w:ascii="Bookman Old Style" w:hAnsi="Bookman Old Style"/>
                <w:sz w:val="18"/>
              </w:rPr>
              <w:t>track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DIR-04 Human Resource</w:t>
            </w:r>
          </w:p>
        </w:tc>
        <w:tc>
          <w:tcPr>
            <w:tcW w:w="16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91.5%</w:t>
            </w:r>
          </w:p>
        </w:tc>
        <w:tc>
          <w:tcPr>
            <w:tcW w:w="99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Green</w:t>
            </w:r>
          </w:p>
        </w:tc>
        <w:tc>
          <w:tcPr>
            <w:tcW w:w="34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On track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DIR-06 ICT</w:t>
            </w:r>
          </w:p>
        </w:tc>
        <w:tc>
          <w:tcPr>
            <w:tcW w:w="16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93.8%</w:t>
            </w:r>
          </w:p>
        </w:tc>
        <w:tc>
          <w:tcPr>
            <w:tcW w:w="99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Green</w:t>
            </w:r>
          </w:p>
        </w:tc>
        <w:tc>
          <w:tcPr>
            <w:tcW w:w="34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Slight over-absorption risk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DIR-03 Strategy and Planning</w:t>
            </w:r>
          </w:p>
        </w:tc>
        <w:tc>
          <w:tcPr>
            <w:tcW w:w="16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85.2%</w:t>
            </w:r>
          </w:p>
        </w:tc>
        <w:tc>
          <w:tcPr>
            <w:tcW w:w="99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Amber</w:t>
            </w:r>
          </w:p>
        </w:tc>
        <w:tc>
          <w:tcPr>
            <w:tcW w:w="34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Monitor closely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DIR-09 Communications</w:t>
            </w:r>
          </w:p>
        </w:tc>
        <w:tc>
          <w:tcPr>
            <w:tcW w:w="16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83.7%</w:t>
            </w:r>
          </w:p>
        </w:tc>
        <w:tc>
          <w:tcPr>
            <w:tcW w:w="99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Amber</w:t>
            </w:r>
          </w:p>
        </w:tc>
        <w:tc>
          <w:tcPr>
            <w:tcW w:w="34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Delayed stakeholder events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 xml:space="preserve">DIR-12 Projects and </w:t>
            </w:r>
            <w:r w:rsidRPr="007C256C">
              <w:rPr>
                <w:rFonts w:ascii="Bookman Old Style" w:hAnsi="Bookman Old Style"/>
                <w:sz w:val="18"/>
              </w:rPr>
              <w:t>Infrastructure</w:t>
            </w:r>
          </w:p>
        </w:tc>
        <w:tc>
          <w:tcPr>
            <w:tcW w:w="16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74.1%</w:t>
            </w:r>
          </w:p>
        </w:tc>
        <w:tc>
          <w:tcPr>
            <w:tcW w:w="99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Red</w:t>
            </w:r>
          </w:p>
        </w:tc>
        <w:tc>
          <w:tcPr>
            <w:tcW w:w="34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Procurement delays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DIR-13 Regional Operations</w:t>
            </w:r>
          </w:p>
        </w:tc>
        <w:tc>
          <w:tcPr>
            <w:tcW w:w="16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71.3%</w:t>
            </w:r>
          </w:p>
        </w:tc>
        <w:tc>
          <w:tcPr>
            <w:tcW w:w="99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Red</w:t>
            </w:r>
          </w:p>
        </w:tc>
        <w:tc>
          <w:tcPr>
            <w:tcW w:w="34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Activity implementation delays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DIR-10 Research and M&amp;E</w:t>
            </w:r>
          </w:p>
        </w:tc>
        <w:tc>
          <w:tcPr>
            <w:tcW w:w="16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68.9%</w:t>
            </w:r>
          </w:p>
        </w:tc>
        <w:tc>
          <w:tcPr>
            <w:tcW w:w="99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Red</w:t>
            </w:r>
          </w:p>
        </w:tc>
        <w:tc>
          <w:tcPr>
            <w:tcW w:w="34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Research contracts not yet awarded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DIR-11 Technical Operations</w:t>
            </w:r>
          </w:p>
        </w:tc>
        <w:tc>
          <w:tcPr>
            <w:tcW w:w="16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70.2%</w:t>
            </w:r>
          </w:p>
        </w:tc>
        <w:tc>
          <w:tcPr>
            <w:tcW w:w="99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Red</w:t>
            </w:r>
          </w:p>
        </w:tc>
        <w:tc>
          <w:tcPr>
            <w:tcW w:w="342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Equipment procurement delays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DIR-05 Procurement</w:t>
            </w:r>
          </w:p>
        </w:tc>
        <w:tc>
          <w:tcPr>
            <w:tcW w:w="16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79.8%</w:t>
            </w:r>
          </w:p>
        </w:tc>
        <w:tc>
          <w:tcPr>
            <w:tcW w:w="99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Amber</w:t>
            </w:r>
          </w:p>
        </w:tc>
        <w:tc>
          <w:tcPr>
            <w:tcW w:w="342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Good but under expected</w:t>
            </w:r>
          </w:p>
        </w:tc>
      </w:tr>
    </w:tbl>
    <w:p w:rsidR="0080752E" w:rsidRPr="007C256C" w:rsidRDefault="0080752E" w:rsidP="007C256C">
      <w:pPr>
        <w:spacing w:after="0" w:line="240" w:lineRule="auto"/>
        <w:rPr>
          <w:rFonts w:ascii="Bookman Old Style" w:hAnsi="Bookman Old Style"/>
        </w:rPr>
      </w:pPr>
    </w:p>
    <w:p w:rsidR="0080752E" w:rsidRPr="007C256C" w:rsidRDefault="007C256C" w:rsidP="007C256C">
      <w:pPr>
        <w:pStyle w:val="Heading1"/>
        <w:spacing w:before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1B4332"/>
          <w:sz w:val="32"/>
        </w:rPr>
        <w:t>5. Data Quality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785"/>
        <w:gridCol w:w="1080"/>
        <w:gridCol w:w="3629"/>
      </w:tblGrid>
      <w:tr w:rsidR="0080752E" w:rsidRPr="007C256C" w:rsidTr="007C256C">
        <w:tc>
          <w:tcPr>
            <w:tcW w:w="3348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Issue Type</w:t>
            </w:r>
          </w:p>
        </w:tc>
        <w:tc>
          <w:tcPr>
            <w:tcW w:w="630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Count</w:t>
            </w:r>
          </w:p>
        </w:tc>
        <w:tc>
          <w:tcPr>
            <w:tcW w:w="1080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Severity</w:t>
            </w:r>
          </w:p>
        </w:tc>
        <w:tc>
          <w:tcPr>
            <w:tcW w:w="3629" w:type="dxa"/>
            <w:shd w:val="clear" w:color="auto" w:fill="1B433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b/>
                <w:color w:val="FFFFFF"/>
                <w:sz w:val="18"/>
              </w:rPr>
              <w:t>Resolution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Missing Cost Centre Code</w:t>
            </w:r>
          </w:p>
        </w:tc>
        <w:tc>
          <w:tcPr>
            <w:tcW w:w="63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19</w:t>
            </w:r>
          </w:p>
        </w:tc>
        <w:tc>
          <w:tcPr>
            <w:tcW w:w="10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High</w:t>
            </w:r>
          </w:p>
        </w:tc>
        <w:tc>
          <w:tcPr>
            <w:tcW w:w="3629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All resolved — mapped to default CC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Duplicate Transaction Reference</w:t>
            </w:r>
          </w:p>
        </w:tc>
        <w:tc>
          <w:tcPr>
            <w:tcW w:w="63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14</w:t>
            </w:r>
          </w:p>
        </w:tc>
        <w:tc>
          <w:tcPr>
            <w:tcW w:w="10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Critical</w:t>
            </w:r>
          </w:p>
        </w:tc>
        <w:tc>
          <w:tcPr>
            <w:tcW w:w="3629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 xml:space="preserve">Deduplicated; 14 </w:t>
            </w:r>
            <w:r w:rsidRPr="007C256C">
              <w:rPr>
                <w:rFonts w:ascii="Bookman Old Style" w:hAnsi="Bookman Old Style"/>
                <w:sz w:val="18"/>
              </w:rPr>
              <w:t>duplicates removed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Incorrect Vote Code</w:t>
            </w:r>
          </w:p>
        </w:tc>
        <w:tc>
          <w:tcPr>
            <w:tcW w:w="63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23</w:t>
            </w:r>
          </w:p>
        </w:tc>
        <w:tc>
          <w:tcPr>
            <w:tcW w:w="10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High</w:t>
            </w:r>
          </w:p>
        </w:tc>
        <w:tc>
          <w:tcPr>
            <w:tcW w:w="3629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Corrected to valid vote codes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Processed Amount &gt; Approved</w:t>
            </w:r>
          </w:p>
        </w:tc>
        <w:tc>
          <w:tcPr>
            <w:tcW w:w="63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8</w:t>
            </w:r>
          </w:p>
        </w:tc>
        <w:tc>
          <w:tcPr>
            <w:tcW w:w="10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Critical</w:t>
            </w:r>
          </w:p>
        </w:tc>
        <w:tc>
          <w:tcPr>
            <w:tcW w:w="3629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Capped at approved amount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Invalid Date</w:t>
            </w:r>
          </w:p>
        </w:tc>
        <w:tc>
          <w:tcPr>
            <w:tcW w:w="63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11</w:t>
            </w:r>
          </w:p>
        </w:tc>
        <w:tc>
          <w:tcPr>
            <w:tcW w:w="10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High</w:t>
            </w:r>
          </w:p>
        </w:tc>
        <w:tc>
          <w:tcPr>
            <w:tcW w:w="3629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Corrected transposition errors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Inconsistent Region Names</w:t>
            </w:r>
          </w:p>
        </w:tc>
        <w:tc>
          <w:tcPr>
            <w:tcW w:w="63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31</w:t>
            </w:r>
          </w:p>
        </w:tc>
        <w:tc>
          <w:tcPr>
            <w:tcW w:w="10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Medium</w:t>
            </w:r>
          </w:p>
        </w:tc>
        <w:tc>
          <w:tcPr>
            <w:tcW w:w="3629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Standardised to region</w:t>
            </w:r>
            <w:r w:rsidRPr="007C256C">
              <w:rPr>
                <w:rFonts w:ascii="Bookman Old Style" w:hAnsi="Bookman Old Style"/>
                <w:sz w:val="18"/>
              </w:rPr>
              <w:t xml:space="preserve"> codes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Blank Approval Fields</w:t>
            </w:r>
          </w:p>
        </w:tc>
        <w:tc>
          <w:tcPr>
            <w:tcW w:w="63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27</w:t>
            </w:r>
          </w:p>
        </w:tc>
        <w:tc>
          <w:tcPr>
            <w:tcW w:w="10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Medium</w:t>
            </w:r>
          </w:p>
        </w:tc>
        <w:tc>
          <w:tcPr>
            <w:tcW w:w="3629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Populated from workflow records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Negative Expenditure Amounts</w:t>
            </w:r>
          </w:p>
        </w:tc>
        <w:tc>
          <w:tcPr>
            <w:tcW w:w="63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6</w:t>
            </w:r>
          </w:p>
        </w:tc>
        <w:tc>
          <w:tcPr>
            <w:tcW w:w="10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Critical</w:t>
            </w:r>
          </w:p>
        </w:tc>
        <w:tc>
          <w:tcPr>
            <w:tcW w:w="3629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Sign corrected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Leading/Trailing Spaces</w:t>
            </w:r>
          </w:p>
        </w:tc>
        <w:tc>
          <w:tcPr>
            <w:tcW w:w="63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45</w:t>
            </w:r>
          </w:p>
        </w:tc>
        <w:tc>
          <w:tcPr>
            <w:tcW w:w="1080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Low</w:t>
            </w:r>
          </w:p>
        </w:tc>
        <w:tc>
          <w:tcPr>
            <w:tcW w:w="3629" w:type="dxa"/>
            <w:shd w:val="clear" w:color="auto" w:fill="F2F2F2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Trimmed in Power Query</w:t>
            </w:r>
          </w:p>
        </w:tc>
      </w:tr>
      <w:tr w:rsidR="0080752E" w:rsidRPr="007C256C" w:rsidTr="007C256C">
        <w:tc>
          <w:tcPr>
            <w:tcW w:w="3348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Different Capitalisation</w:t>
            </w:r>
          </w:p>
        </w:tc>
        <w:tc>
          <w:tcPr>
            <w:tcW w:w="63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38</w:t>
            </w:r>
          </w:p>
        </w:tc>
        <w:tc>
          <w:tcPr>
            <w:tcW w:w="1080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Low</w:t>
            </w:r>
          </w:p>
        </w:tc>
        <w:tc>
          <w:tcPr>
            <w:tcW w:w="3629" w:type="dxa"/>
            <w:shd w:val="clear" w:color="auto" w:fill="FFFFFF"/>
          </w:tcPr>
          <w:p w:rsidR="0080752E" w:rsidRPr="007C256C" w:rsidRDefault="007C256C" w:rsidP="007C256C">
            <w:pPr>
              <w:rPr>
                <w:rFonts w:ascii="Bookman Old Style" w:hAnsi="Bookman Old Style"/>
              </w:rPr>
            </w:pPr>
            <w:r w:rsidRPr="007C256C">
              <w:rPr>
                <w:rFonts w:ascii="Bookman Old Style" w:hAnsi="Bookman Old Style"/>
                <w:sz w:val="18"/>
              </w:rPr>
              <w:t>Standardised to uppercase codes</w:t>
            </w:r>
          </w:p>
        </w:tc>
      </w:tr>
    </w:tbl>
    <w:p w:rsidR="0080752E" w:rsidRPr="007C256C" w:rsidRDefault="007C256C" w:rsidP="007C256C">
      <w:pPr>
        <w:spacing w:after="0" w:line="240" w:lineRule="auto"/>
        <w:rPr>
          <w:rFonts w:ascii="Bookman Old Style" w:hAnsi="Bookman Old Style"/>
        </w:rPr>
      </w:pPr>
      <w:r w:rsidRPr="007C256C">
        <w:rPr>
          <w:rFonts w:ascii="Bookman Old Style" w:hAnsi="Bookman Old Style"/>
          <w:color w:val="2C3E50"/>
          <w:sz w:val="20"/>
        </w:rPr>
        <w:t xml:space="preserve">Data </w:t>
      </w:r>
      <w:r w:rsidRPr="007C256C">
        <w:rPr>
          <w:rFonts w:ascii="Bookman Old Style" w:hAnsi="Bookman Old Style"/>
          <w:color w:val="2C3E50"/>
          <w:sz w:val="20"/>
        </w:rPr>
        <w:t>quality score: 96.2% (250 issues in 9,500+ records = 2.6% error rate). This is within the acceptable 2-5% threshold for raw data demonstration. All issues are logged in Data_Quality_Log.csv and a cleaned version is available.</w:t>
      </w:r>
    </w:p>
    <w:sectPr w:rsidR="0080752E" w:rsidRPr="007C2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56C"/>
    <w:rsid w:val="008075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B5871"/>
  <w14:defaultImageDpi w14:val="300"/>
  <w15:docId w15:val="{BF42D7FE-842C-4896-B1A0-86FB94E6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9B2838-2634-43DE-B80B-FF2EC29D5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2026-06-20T09:25:00Z</dcterms:modified>
  <cp:category/>
</cp:coreProperties>
</file>