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DBD" w:rsidRPr="00C921DB" w:rsidRDefault="00C921DB" w:rsidP="00C921DB">
      <w:pPr>
        <w:pStyle w:val="Title"/>
        <w:spacing w:after="0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1B4332"/>
          <w:sz w:val="40"/>
        </w:rPr>
        <w:t>PARASTATAL X</w:t>
      </w:r>
    </w:p>
    <w:p w:rsidR="00445DBD" w:rsidRPr="00C921DB" w:rsidRDefault="00C921DB" w:rsidP="00C921DB">
      <w:pPr>
        <w:pStyle w:val="Heading1"/>
        <w:spacing w:before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1B4332"/>
        </w:rPr>
        <w:t>SENIOR FINANCE MANAGER – MANAGEMENT COMMENTARY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i/>
          <w:color w:val="2C3E50"/>
          <w:sz w:val="20"/>
        </w:rPr>
        <w:t>Financial Year 2025/2026 | As at 31 May 2026 | All figures in Kenya Shillings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i/>
          <w:color w:val="2C3E50"/>
          <w:sz w:val="20"/>
        </w:rPr>
        <w:t>DISCLAIMER: All data used in this commentary is entirely synthetic.</w:t>
      </w:r>
    </w:p>
    <w:p w:rsidR="00445DBD" w:rsidRPr="00C921DB" w:rsidRDefault="00445DBD" w:rsidP="00C921DB">
      <w:pPr>
        <w:spacing w:after="0" w:line="240" w:lineRule="auto"/>
        <w:rPr>
          <w:rFonts w:ascii="Bookman Old Style" w:hAnsi="Bookman Old Style"/>
        </w:rPr>
      </w:pPr>
    </w:p>
    <w:p w:rsidR="00445DBD" w:rsidRPr="00C921DB" w:rsidRDefault="00C921DB" w:rsidP="00C921DB">
      <w:pPr>
        <w:pStyle w:val="Heading1"/>
        <w:spacing w:before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1B4332"/>
          <w:sz w:val="32"/>
        </w:rPr>
        <w:t>1. EXECUTIVE SUMMARY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As at 31 May 2026, Parastatal X had utilised KS</w:t>
      </w:r>
      <w:r>
        <w:rPr>
          <w:rFonts w:ascii="Bookman Old Style" w:hAnsi="Bookman Old Style"/>
          <w:color w:val="2C3E50"/>
          <w:sz w:val="20"/>
        </w:rPr>
        <w:t xml:space="preserve">h 1,478,365,800 — </w:t>
      </w:r>
      <w:proofErr w:type="gramStart"/>
      <w:r>
        <w:rPr>
          <w:rFonts w:ascii="Bookman Old Style" w:hAnsi="Bookman Old Style"/>
          <w:color w:val="2C3E50"/>
          <w:sz w:val="20"/>
        </w:rPr>
        <w:t xml:space="preserve">representing  </w:t>
      </w:r>
      <w:r w:rsidRPr="00C921DB">
        <w:rPr>
          <w:rFonts w:ascii="Bookman Old Style" w:hAnsi="Bookman Old Style"/>
          <w:color w:val="2C3E50"/>
          <w:sz w:val="20"/>
        </w:rPr>
        <w:t>87.0</w:t>
      </w:r>
      <w:proofErr w:type="gramEnd"/>
      <w:r w:rsidRPr="00C921DB">
        <w:rPr>
          <w:rFonts w:ascii="Bookman Old Style" w:hAnsi="Bookman Old Style"/>
          <w:color w:val="2C3E50"/>
          <w:sz w:val="20"/>
        </w:rPr>
        <w:t>% of the approved annual budget of KSh 1,700,000,000. A</w:t>
      </w:r>
      <w:r>
        <w:rPr>
          <w:rFonts w:ascii="Bookman Old Style" w:hAnsi="Bookman Old Style"/>
          <w:color w:val="2C3E50"/>
          <w:sz w:val="20"/>
        </w:rPr>
        <w:t xml:space="preserve">gainst the expected time-based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utilisation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rate of 91.7% (11 of 12 months elapsed), the Organisation is 4.7 percentag</w:t>
      </w:r>
      <w:r>
        <w:rPr>
          <w:rFonts w:ascii="Bookman Old Style" w:hAnsi="Bookman Old Style"/>
          <w:color w:val="2C3E50"/>
          <w:sz w:val="20"/>
        </w:rPr>
        <w:t xml:space="preserve">e </w:t>
      </w:r>
      <w:r w:rsidRPr="00C921DB">
        <w:rPr>
          <w:rFonts w:ascii="Bookman Old Style" w:hAnsi="Bookman Old Style"/>
          <w:color w:val="2C3E50"/>
          <w:sz w:val="20"/>
        </w:rPr>
        <w:t>points below the expected absorption level. While the overal</w:t>
      </w:r>
      <w:r>
        <w:rPr>
          <w:rFonts w:ascii="Bookman Old Style" w:hAnsi="Bookman Old Style"/>
          <w:color w:val="2C3E50"/>
          <w:sz w:val="20"/>
        </w:rPr>
        <w:t xml:space="preserve">l position is within the amber </w:t>
      </w:r>
      <w:r w:rsidRPr="00C921DB">
        <w:rPr>
          <w:rFonts w:ascii="Bookman Old Style" w:hAnsi="Bookman Old Style"/>
          <w:color w:val="2C3E50"/>
          <w:sz w:val="20"/>
        </w:rPr>
        <w:t>management threshold, significant performance disparities exis</w:t>
      </w:r>
      <w:r>
        <w:rPr>
          <w:rFonts w:ascii="Bookman Old Style" w:hAnsi="Bookman Old Style"/>
          <w:color w:val="2C3E50"/>
          <w:sz w:val="20"/>
        </w:rPr>
        <w:t xml:space="preserve">t across directorates and cost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centres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, requiring </w:t>
      </w:r>
      <w:r>
        <w:rPr>
          <w:rFonts w:ascii="Bookman Old Style" w:hAnsi="Bookman Old Style"/>
          <w:color w:val="2C3E50"/>
          <w:sz w:val="20"/>
        </w:rPr>
        <w:t>immediate management attention.</w:t>
      </w:r>
      <w:r w:rsidRPr="00C921DB">
        <w:rPr>
          <w:rFonts w:ascii="Bookman Old Style" w:hAnsi="Bookman Old Style"/>
          <w:color w:val="2C3E50"/>
          <w:sz w:val="20"/>
        </w:rPr>
        <w:br/>
        <w:t>The blended yea</w:t>
      </w:r>
      <w:r w:rsidRPr="00C921DB">
        <w:rPr>
          <w:rFonts w:ascii="Bookman Old Style" w:hAnsi="Bookman Old Style"/>
          <w:color w:val="2C3E50"/>
          <w:sz w:val="20"/>
        </w:rPr>
        <w:t>r-end forecast of KSh 1,763,490,330 — repre</w:t>
      </w:r>
      <w:r>
        <w:rPr>
          <w:rFonts w:ascii="Bookman Old Style" w:hAnsi="Bookman Old Style"/>
          <w:color w:val="2C3E50"/>
          <w:sz w:val="20"/>
        </w:rPr>
        <w:t xml:space="preserve">senting 103.7% of the approved </w:t>
      </w:r>
      <w:r w:rsidRPr="00C921DB">
        <w:rPr>
          <w:rFonts w:ascii="Bookman Old Style" w:hAnsi="Bookman Old Style"/>
          <w:color w:val="2C3E50"/>
          <w:sz w:val="20"/>
        </w:rPr>
        <w:t>budget — indicates a slight over-expenditure risk of KSh 63,490</w:t>
      </w:r>
      <w:r>
        <w:rPr>
          <w:rFonts w:ascii="Bookman Old Style" w:hAnsi="Bookman Old Style"/>
          <w:color w:val="2C3E50"/>
          <w:sz w:val="20"/>
        </w:rPr>
        <w:t xml:space="preserve">,330. This is primarily driven </w:t>
      </w:r>
      <w:r w:rsidRPr="00C921DB">
        <w:rPr>
          <w:rFonts w:ascii="Bookman Old Style" w:hAnsi="Bookman Old Style"/>
          <w:color w:val="2C3E50"/>
          <w:sz w:val="20"/>
        </w:rPr>
        <w:t>by a high volume of open commitments (KSh 700,000,000) and expenditure acceleration ex</w:t>
      </w:r>
      <w:r>
        <w:rPr>
          <w:rFonts w:ascii="Bookman Old Style" w:hAnsi="Bookman Old Style"/>
          <w:color w:val="2C3E50"/>
          <w:sz w:val="20"/>
        </w:rPr>
        <w:t xml:space="preserve">pected </w:t>
      </w:r>
      <w:r w:rsidRPr="00C921DB">
        <w:rPr>
          <w:rFonts w:ascii="Bookman Old Style" w:hAnsi="Bookman Old Style"/>
          <w:color w:val="2C3E50"/>
          <w:sz w:val="20"/>
        </w:rPr>
        <w:t>in June 2026, the final month of the financial year.</w:t>
      </w:r>
      <w:r w:rsidRPr="00C921DB">
        <w:rPr>
          <w:rFonts w:ascii="Bookman Old Style" w:hAnsi="Bookman Old Style"/>
          <w:color w:val="2C3E50"/>
          <w:sz w:val="20"/>
        </w:rPr>
        <w:br/>
      </w:r>
      <w:r w:rsidRPr="00C921DB">
        <w:rPr>
          <w:rFonts w:ascii="Bookman Old Style" w:hAnsi="Bookman Old Style"/>
          <w:color w:val="2C3E50"/>
          <w:sz w:val="20"/>
        </w:rPr>
        <w:br/>
        <w:t>Management is required to take immediate action to rebalance exp</w:t>
      </w:r>
      <w:r>
        <w:rPr>
          <w:rFonts w:ascii="Bookman Old Style" w:hAnsi="Bookman Old Style"/>
          <w:color w:val="2C3E50"/>
          <w:sz w:val="20"/>
        </w:rPr>
        <w:t xml:space="preserve">enditure, clear pending bills, </w:t>
      </w:r>
      <w:r w:rsidRPr="00C921DB">
        <w:rPr>
          <w:rFonts w:ascii="Bookman Old Style" w:hAnsi="Bookman Old Style"/>
          <w:color w:val="2C3E50"/>
          <w:sz w:val="20"/>
        </w:rPr>
        <w:t>accelerate underperforming cost centres, and put in place contro</w:t>
      </w:r>
      <w:r>
        <w:rPr>
          <w:rFonts w:ascii="Bookman Old Style" w:hAnsi="Bookman Old Style"/>
          <w:color w:val="2C3E50"/>
          <w:sz w:val="20"/>
        </w:rPr>
        <w:t xml:space="preserve">ls to prevent over-expenditure </w:t>
      </w:r>
      <w:r w:rsidRPr="00C921DB">
        <w:rPr>
          <w:rFonts w:ascii="Bookman Old Style" w:hAnsi="Bookman Old Style"/>
          <w:color w:val="2C3E50"/>
          <w:sz w:val="20"/>
        </w:rPr>
        <w:t>in</w:t>
      </w:r>
      <w:r w:rsidRPr="00C921DB">
        <w:rPr>
          <w:rFonts w:ascii="Bookman Old Style" w:hAnsi="Bookman Old Style"/>
          <w:color w:val="2C3E50"/>
          <w:sz w:val="20"/>
        </w:rPr>
        <w:t xml:space="preserve"> high-risk vote lines.</w:t>
      </w:r>
    </w:p>
    <w:p w:rsidR="00445DBD" w:rsidRPr="00C921DB" w:rsidRDefault="00C921DB" w:rsidP="00C921DB">
      <w:pPr>
        <w:pStyle w:val="Heading1"/>
        <w:spacing w:before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1B4332"/>
          <w:sz w:val="32"/>
        </w:rPr>
        <w:t>2. BUDGET UTILISATION</w:t>
      </w:r>
    </w:p>
    <w:p w:rsidR="00C921DB" w:rsidRDefault="00C921DB" w:rsidP="00C921DB">
      <w:p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>The approved annual budget of KSh 1,700,000,000 has b</w:t>
      </w:r>
      <w:r>
        <w:rPr>
          <w:rFonts w:ascii="Bookman Old Style" w:hAnsi="Bookman Old Style"/>
          <w:color w:val="2C3E50"/>
          <w:sz w:val="20"/>
        </w:rPr>
        <w:t xml:space="preserve">een distributed across 32 cost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centres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spanning 13 directorates and 8 regional offices. As at th</w:t>
      </w:r>
      <w:r>
        <w:rPr>
          <w:rFonts w:ascii="Bookman Old Style" w:hAnsi="Bookman Old Style"/>
          <w:color w:val="2C3E50"/>
          <w:sz w:val="20"/>
        </w:rPr>
        <w:t>e cut-off date of 31 May 2026:</w:t>
      </w:r>
    </w:p>
    <w:p w:rsidR="00C921DB" w:rsidRPr="00C921DB" w:rsidRDefault="00C921DB" w:rsidP="00C921DB">
      <w:pPr>
        <w:pStyle w:val="ListParagraph"/>
        <w:numPr>
          <w:ilvl w:val="0"/>
          <w:numId w:val="10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 xml:space="preserve">YTD Actual Expenditure: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KSh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1,478,365,800 (87.0% of approved budget)</w:t>
      </w:r>
    </w:p>
    <w:p w:rsidR="00C921DB" w:rsidRPr="00C921DB" w:rsidRDefault="00C921DB" w:rsidP="00C921DB">
      <w:pPr>
        <w:pStyle w:val="ListParagraph"/>
        <w:numPr>
          <w:ilvl w:val="0"/>
          <w:numId w:val="10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 xml:space="preserve">Expected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Utilisation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Rate (time-based): 91.7%</w:t>
      </w:r>
    </w:p>
    <w:p w:rsidR="00C921DB" w:rsidRPr="00C921DB" w:rsidRDefault="00C921DB" w:rsidP="00C921DB">
      <w:pPr>
        <w:pStyle w:val="ListParagraph"/>
        <w:numPr>
          <w:ilvl w:val="0"/>
          <w:numId w:val="10"/>
        </w:num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Absorpti</w:t>
      </w:r>
      <w:r>
        <w:rPr>
          <w:rFonts w:ascii="Bookman Old Style" w:hAnsi="Bookman Old Style"/>
          <w:color w:val="2C3E50"/>
          <w:sz w:val="20"/>
        </w:rPr>
        <w:t>on Gap: -4.7 percentage points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Of the 32 active cost centres, 23 are rated Red (below 80% ab</w:t>
      </w:r>
      <w:r>
        <w:rPr>
          <w:rFonts w:ascii="Bookman Old Style" w:hAnsi="Bookman Old Style"/>
          <w:color w:val="2C3E50"/>
          <w:sz w:val="20"/>
        </w:rPr>
        <w:t xml:space="preserve">sorption versus time elapsed), </w:t>
      </w:r>
      <w:r w:rsidRPr="00C921DB">
        <w:rPr>
          <w:rFonts w:ascii="Bookman Old Style" w:hAnsi="Bookman Old Style"/>
          <w:color w:val="2C3E50"/>
          <w:sz w:val="20"/>
        </w:rPr>
        <w:t xml:space="preserve">7 are Amber (80-90%), and only </w:t>
      </w:r>
      <w:r w:rsidRPr="00C921DB">
        <w:rPr>
          <w:rFonts w:ascii="Bookman Old Style" w:hAnsi="Bookman Old Style"/>
          <w:color w:val="2C3E50"/>
          <w:sz w:val="20"/>
        </w:rPr>
        <w:t>2 are Green. Five cost centr</w:t>
      </w:r>
      <w:r>
        <w:rPr>
          <w:rFonts w:ascii="Bookman Old Style" w:hAnsi="Bookman Old Style"/>
          <w:color w:val="2C3E50"/>
          <w:sz w:val="20"/>
        </w:rPr>
        <w:t xml:space="preserve">es account for over 42% of the </w:t>
      </w:r>
      <w:r w:rsidRPr="00C921DB">
        <w:rPr>
          <w:rFonts w:ascii="Bookman Old Style" w:hAnsi="Bookman Old Style"/>
          <w:color w:val="2C3E50"/>
          <w:sz w:val="20"/>
        </w:rPr>
        <w:t xml:space="preserve">projected underutilisation, all within the Projects and </w:t>
      </w:r>
      <w:r>
        <w:rPr>
          <w:rFonts w:ascii="Bookman Old Style" w:hAnsi="Bookman Old Style"/>
          <w:color w:val="2C3E50"/>
          <w:sz w:val="20"/>
        </w:rPr>
        <w:t xml:space="preserve">Infrastructure Directorate and </w:t>
      </w:r>
      <w:r w:rsidRPr="00C921DB">
        <w:rPr>
          <w:rFonts w:ascii="Bookman Old Style" w:hAnsi="Bookman Old Style"/>
          <w:color w:val="2C3E50"/>
          <w:sz w:val="20"/>
        </w:rPr>
        <w:t>Regional Operations Directorate. These areas have expe</w:t>
      </w:r>
      <w:r>
        <w:rPr>
          <w:rFonts w:ascii="Bookman Old Style" w:hAnsi="Bookman Old Style"/>
          <w:color w:val="2C3E50"/>
          <w:sz w:val="20"/>
        </w:rPr>
        <w:t xml:space="preserve">rienced procurement delays and </w:t>
      </w:r>
      <w:r w:rsidRPr="00C921DB">
        <w:rPr>
          <w:rFonts w:ascii="Bookman Old Style" w:hAnsi="Bookman Old Style"/>
          <w:color w:val="2C3E50"/>
          <w:sz w:val="20"/>
        </w:rPr>
        <w:t>implementation challen</w:t>
      </w:r>
      <w:r w:rsidRPr="00C921DB">
        <w:rPr>
          <w:rFonts w:ascii="Bookman Old Style" w:hAnsi="Bookman Old Style"/>
          <w:color w:val="2C3E50"/>
          <w:sz w:val="20"/>
        </w:rPr>
        <w:t>ges that have constrained expenditure absorption.</w:t>
      </w:r>
      <w:r w:rsidRPr="00C921DB">
        <w:rPr>
          <w:rFonts w:ascii="Bookman Old Style" w:hAnsi="Bookman Old Style"/>
          <w:color w:val="2C3E50"/>
          <w:sz w:val="20"/>
        </w:rPr>
        <w:br/>
      </w:r>
      <w:r w:rsidRPr="00C921DB">
        <w:rPr>
          <w:rFonts w:ascii="Bookman Old Style" w:hAnsi="Bookman Old Style"/>
          <w:color w:val="2C3E50"/>
          <w:sz w:val="20"/>
        </w:rPr>
        <w:br/>
        <w:t>Conversely, the Finance and Accounts Directorate, ICT Di</w:t>
      </w:r>
      <w:r>
        <w:rPr>
          <w:rFonts w:ascii="Bookman Old Style" w:hAnsi="Bookman Old Style"/>
          <w:color w:val="2C3E50"/>
          <w:sz w:val="20"/>
        </w:rPr>
        <w:t xml:space="preserve">rectorate, and Human Resources </w:t>
      </w:r>
      <w:r w:rsidRPr="00C921DB">
        <w:rPr>
          <w:rFonts w:ascii="Bookman Old Style" w:hAnsi="Bookman Old Style"/>
          <w:color w:val="2C3E50"/>
          <w:sz w:val="20"/>
        </w:rPr>
        <w:t>Directorate have maintained absorption rates above 90</w:t>
      </w:r>
      <w:r>
        <w:rPr>
          <w:rFonts w:ascii="Bookman Old Style" w:hAnsi="Bookman Old Style"/>
          <w:color w:val="2C3E50"/>
          <w:sz w:val="20"/>
        </w:rPr>
        <w:t xml:space="preserve">%, demonstrating strong budget </w:t>
      </w:r>
      <w:r w:rsidRPr="00C921DB">
        <w:rPr>
          <w:rFonts w:ascii="Bookman Old Style" w:hAnsi="Bookman Old Style"/>
          <w:color w:val="2C3E50"/>
          <w:sz w:val="20"/>
        </w:rPr>
        <w:t>management and timely processing</w:t>
      </w:r>
      <w:r w:rsidRPr="00C921DB">
        <w:rPr>
          <w:rFonts w:ascii="Bookman Old Style" w:hAnsi="Bookman Old Style"/>
          <w:color w:val="2C3E50"/>
          <w:sz w:val="20"/>
        </w:rPr>
        <w:t xml:space="preserve"> of transactions.</w:t>
      </w:r>
    </w:p>
    <w:p w:rsidR="00445DBD" w:rsidRPr="00C921DB" w:rsidRDefault="00C921DB" w:rsidP="00C921DB">
      <w:pPr>
        <w:pStyle w:val="Heading1"/>
        <w:spacing w:before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1B4332"/>
          <w:sz w:val="32"/>
        </w:rPr>
        <w:t>3. EXPENDITURE PERFORMANCE AND TRENDS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Monthly expenditure has followed the expe</w:t>
      </w:r>
      <w:r>
        <w:rPr>
          <w:rFonts w:ascii="Bookman Old Style" w:hAnsi="Bookman Old Style"/>
          <w:color w:val="2C3E50"/>
          <w:sz w:val="20"/>
        </w:rPr>
        <w:t xml:space="preserve">cted seasonal pattern, with Q3 </w:t>
      </w:r>
      <w:r w:rsidRPr="00C921DB">
        <w:rPr>
          <w:rFonts w:ascii="Bookman Old Style" w:hAnsi="Bookman Old Style"/>
          <w:color w:val="2C3E50"/>
          <w:sz w:val="20"/>
        </w:rPr>
        <w:t>(January–March 2026) recording higher spend in line with mid</w:t>
      </w:r>
      <w:r>
        <w:rPr>
          <w:rFonts w:ascii="Bookman Old Style" w:hAnsi="Bookman Old Style"/>
          <w:color w:val="2C3E50"/>
          <w:sz w:val="20"/>
        </w:rPr>
        <w:t xml:space="preserve">-year procurement completions. </w:t>
      </w:r>
      <w:r w:rsidRPr="00C921DB">
        <w:rPr>
          <w:rFonts w:ascii="Bookman Old Style" w:hAnsi="Bookman Old Style"/>
          <w:color w:val="2C3E50"/>
          <w:sz w:val="20"/>
        </w:rPr>
        <w:t>April 2026 showed a temporary dip a</w:t>
      </w:r>
      <w:r w:rsidRPr="00C921DB">
        <w:rPr>
          <w:rFonts w:ascii="Bookman Old Style" w:hAnsi="Bookman Old Style"/>
          <w:color w:val="2C3E50"/>
          <w:sz w:val="20"/>
        </w:rPr>
        <w:t>s several large in</w:t>
      </w:r>
      <w:r>
        <w:rPr>
          <w:rFonts w:ascii="Bookman Old Style" w:hAnsi="Bookman Old Style"/>
          <w:color w:val="2C3E50"/>
          <w:sz w:val="20"/>
        </w:rPr>
        <w:t xml:space="preserve">frastructure contracts awaited </w:t>
      </w:r>
      <w:r w:rsidRPr="00C921DB">
        <w:rPr>
          <w:rFonts w:ascii="Bookman Old Style" w:hAnsi="Bookman Old Style"/>
          <w:color w:val="2C3E50"/>
          <w:sz w:val="20"/>
        </w:rPr>
        <w:t>commissioning milestones before final payments could be processed.</w:t>
      </w:r>
      <w:r w:rsidRPr="00C921DB">
        <w:rPr>
          <w:rFonts w:ascii="Bookman Old Style" w:hAnsi="Bookman Old Style"/>
          <w:color w:val="2C3E50"/>
          <w:sz w:val="20"/>
        </w:rPr>
        <w:br/>
      </w:r>
      <w:r w:rsidRPr="00C921DB">
        <w:rPr>
          <w:rFonts w:ascii="Bookman Old Style" w:hAnsi="Bookman Old Style"/>
          <w:color w:val="2C3E50"/>
          <w:sz w:val="20"/>
        </w:rPr>
        <w:br/>
        <w:t>Year-on-year comparison shows overall expenditure growth o</w:t>
      </w:r>
      <w:r>
        <w:rPr>
          <w:rFonts w:ascii="Bookman Old Style" w:hAnsi="Bookman Old Style"/>
          <w:color w:val="2C3E50"/>
          <w:sz w:val="20"/>
        </w:rPr>
        <w:t xml:space="preserve">f approximately 10.3% compared </w:t>
      </w:r>
      <w:r w:rsidRPr="00C921DB">
        <w:rPr>
          <w:rFonts w:ascii="Bookman Old Style" w:hAnsi="Bookman Old Style"/>
          <w:color w:val="2C3E50"/>
          <w:sz w:val="20"/>
        </w:rPr>
        <w:t>to FY2024/2025 (KSh 1,338,255,800 actual), consi</w:t>
      </w:r>
      <w:r w:rsidRPr="00C921DB">
        <w:rPr>
          <w:rFonts w:ascii="Bookman Old Style" w:hAnsi="Bookman Old Style"/>
          <w:color w:val="2C3E50"/>
          <w:sz w:val="20"/>
        </w:rPr>
        <w:t>stent</w:t>
      </w:r>
      <w:r>
        <w:rPr>
          <w:rFonts w:ascii="Bookman Old Style" w:hAnsi="Bookman Old Style"/>
          <w:color w:val="2C3E50"/>
          <w:sz w:val="20"/>
        </w:rPr>
        <w:t xml:space="preserve"> with the 9.7% budget increase </w:t>
      </w:r>
      <w:r w:rsidRPr="00C921DB">
        <w:rPr>
          <w:rFonts w:ascii="Bookman Old Style" w:hAnsi="Bookman Old Style"/>
          <w:color w:val="2C3E50"/>
          <w:sz w:val="20"/>
        </w:rPr>
        <w:t>from KSh 1,550,000,000 to KSh 1,700,000,000.</w:t>
      </w:r>
      <w:r w:rsidRPr="00C921DB">
        <w:rPr>
          <w:rFonts w:ascii="Bookman Old Style" w:hAnsi="Bookman Old Style"/>
          <w:color w:val="2C3E50"/>
          <w:sz w:val="20"/>
        </w:rPr>
        <w:br/>
      </w:r>
      <w:r w:rsidRPr="00C921DB">
        <w:rPr>
          <w:rFonts w:ascii="Bookman Old Style" w:hAnsi="Bookman Old Style"/>
          <w:color w:val="2C3E50"/>
          <w:sz w:val="20"/>
        </w:rPr>
        <w:br/>
        <w:t xml:space="preserve">The average monthly expenditure of KSh 134,396,891 implies a </w:t>
      </w:r>
      <w:r>
        <w:rPr>
          <w:rFonts w:ascii="Bookman Old Style" w:hAnsi="Bookman Old Style"/>
          <w:color w:val="2C3E50"/>
          <w:sz w:val="20"/>
        </w:rPr>
        <w:t xml:space="preserve">required June 2026 expenditure </w:t>
      </w:r>
      <w:r w:rsidRPr="00C921DB">
        <w:rPr>
          <w:rFonts w:ascii="Bookman Old Style" w:hAnsi="Bookman Old Style"/>
          <w:color w:val="2C3E50"/>
          <w:sz w:val="20"/>
        </w:rPr>
        <w:t>of approximately KSh 221,634,200 to meet the approved budget — approximately 65%</w:t>
      </w:r>
      <w:r w:rsidRPr="00C921DB">
        <w:rPr>
          <w:rFonts w:ascii="Bookman Old Style" w:hAnsi="Bookman Old Style"/>
          <w:color w:val="2C3E50"/>
          <w:sz w:val="20"/>
        </w:rPr>
        <w:t xml:space="preserve"> above the </w:t>
      </w:r>
      <w:r w:rsidRPr="00C921DB">
        <w:rPr>
          <w:rFonts w:ascii="Bookman Old Style" w:hAnsi="Bookman Old Style"/>
          <w:color w:val="2C3E50"/>
          <w:sz w:val="20"/>
        </w:rPr>
        <w:t xml:space="preserve">monthly average. Management must ensure that the </w:t>
      </w:r>
      <w:r w:rsidRPr="00C921DB">
        <w:rPr>
          <w:rFonts w:ascii="Bookman Old Style" w:hAnsi="Bookman Old Style"/>
          <w:color w:val="2C3E50"/>
          <w:sz w:val="20"/>
        </w:rPr>
        <w:lastRenderedPageBreak/>
        <w:t>necessary p</w:t>
      </w:r>
      <w:r>
        <w:rPr>
          <w:rFonts w:ascii="Bookman Old Style" w:hAnsi="Bookman Old Style"/>
          <w:color w:val="2C3E50"/>
          <w:sz w:val="20"/>
        </w:rPr>
        <w:t xml:space="preserve">rocurement, payment processing </w:t>
      </w:r>
      <w:r w:rsidRPr="00C921DB">
        <w:rPr>
          <w:rFonts w:ascii="Bookman Old Style" w:hAnsi="Bookman Old Style"/>
          <w:color w:val="2C3E50"/>
          <w:sz w:val="20"/>
        </w:rPr>
        <w:t>and commitment liquidation activities are prioritised and completed before 30 June 2026.</w:t>
      </w:r>
    </w:p>
    <w:p w:rsidR="00445DBD" w:rsidRPr="00C921DB" w:rsidRDefault="00C921DB" w:rsidP="00C921DB">
      <w:pPr>
        <w:pStyle w:val="Heading1"/>
        <w:spacing w:before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1B4332"/>
          <w:sz w:val="32"/>
        </w:rPr>
        <w:t>4. COMMITMENT EXPOSURE</w:t>
      </w:r>
    </w:p>
    <w:p w:rsidR="00C921DB" w:rsidRDefault="00C921DB" w:rsidP="00C921DB">
      <w:p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>Open commitments as at 31 May 2026 total</w:t>
      </w:r>
      <w:r w:rsidRPr="00C921DB">
        <w:rPr>
          <w:rFonts w:ascii="Bookman Old Style" w:hAnsi="Bookman Old Style"/>
          <w:color w:val="2C3E50"/>
          <w:sz w:val="20"/>
        </w:rPr>
        <w:t xml:space="preserve"> KSh 7</w:t>
      </w:r>
      <w:r>
        <w:rPr>
          <w:rFonts w:ascii="Bookman Old Style" w:hAnsi="Bookman Old Style"/>
          <w:color w:val="2C3E50"/>
          <w:sz w:val="20"/>
        </w:rPr>
        <w:t xml:space="preserve">00,000,000, representing 47.3% </w:t>
      </w:r>
      <w:r w:rsidRPr="00C921DB">
        <w:rPr>
          <w:rFonts w:ascii="Bookman Old Style" w:hAnsi="Bookman Old Style"/>
          <w:color w:val="2C3E50"/>
          <w:sz w:val="20"/>
        </w:rPr>
        <w:t>of the remaining approved budget after YTD expenditure. A s</w:t>
      </w:r>
      <w:r>
        <w:rPr>
          <w:rFonts w:ascii="Bookman Old Style" w:hAnsi="Bookman Old Style"/>
          <w:color w:val="2C3E50"/>
          <w:sz w:val="20"/>
        </w:rPr>
        <w:t xml:space="preserve">ignificant proportion of these </w:t>
      </w:r>
      <w:r w:rsidRPr="00C921DB">
        <w:rPr>
          <w:rFonts w:ascii="Bookman Old Style" w:hAnsi="Bookman Old Style"/>
          <w:color w:val="2C3E50"/>
          <w:sz w:val="20"/>
        </w:rPr>
        <w:t>commitments are associated with the Projects and Infr</w:t>
      </w:r>
      <w:r>
        <w:rPr>
          <w:rFonts w:ascii="Bookman Old Style" w:hAnsi="Bookman Old Style"/>
          <w:color w:val="2C3E50"/>
          <w:sz w:val="20"/>
        </w:rPr>
        <w:t xml:space="preserve">astructure Directorate and the </w:t>
      </w:r>
      <w:r w:rsidRPr="00C921DB">
        <w:rPr>
          <w:rFonts w:ascii="Bookman Old Style" w:hAnsi="Bookman Old Style"/>
          <w:color w:val="2C3E50"/>
          <w:sz w:val="20"/>
        </w:rPr>
        <w:t>Procuremen</w:t>
      </w:r>
      <w:r>
        <w:rPr>
          <w:rFonts w:ascii="Bookman Old Style" w:hAnsi="Bookman Old Style"/>
          <w:color w:val="2C3E50"/>
          <w:sz w:val="20"/>
        </w:rPr>
        <w:t>t and Supply Chain Directorate.</w:t>
      </w:r>
      <w:r w:rsidRPr="00C921DB">
        <w:rPr>
          <w:rFonts w:ascii="Bookman Old Style" w:hAnsi="Bookman Old Style"/>
          <w:color w:val="2C3E50"/>
          <w:sz w:val="20"/>
        </w:rPr>
        <w:br/>
        <w:t>K</w:t>
      </w:r>
      <w:r>
        <w:rPr>
          <w:rFonts w:ascii="Bookman Old Style" w:hAnsi="Bookman Old Style"/>
          <w:color w:val="2C3E50"/>
          <w:sz w:val="20"/>
        </w:rPr>
        <w:t>ey commitment concerns include:</w:t>
      </w:r>
    </w:p>
    <w:p w:rsidR="00C921DB" w:rsidRPr="00C921DB" w:rsidRDefault="00C921DB" w:rsidP="00C921DB">
      <w:pPr>
        <w:pStyle w:val="ListParagraph"/>
        <w:numPr>
          <w:ilvl w:val="0"/>
          <w:numId w:val="12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 xml:space="preserve">18 cost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centres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with over-expenditure risk when commitments are netted against available balance</w:t>
      </w:r>
    </w:p>
    <w:p w:rsidR="00C921DB" w:rsidRPr="00C921DB" w:rsidRDefault="00C921DB" w:rsidP="00C921DB">
      <w:pPr>
        <w:pStyle w:val="ListParagraph"/>
        <w:numPr>
          <w:ilvl w:val="0"/>
          <w:numId w:val="12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>Open commitments outstanding for more than 90 days requiring urgent management follow-up</w:t>
      </w:r>
    </w:p>
    <w:p w:rsidR="00C921DB" w:rsidRPr="00C921DB" w:rsidRDefault="00C921DB" w:rsidP="00C921DB">
      <w:pPr>
        <w:pStyle w:val="ListParagraph"/>
        <w:numPr>
          <w:ilvl w:val="0"/>
          <w:numId w:val="12"/>
        </w:num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• Several construction and equip</w:t>
      </w:r>
      <w:r w:rsidRPr="00C921DB">
        <w:rPr>
          <w:rFonts w:ascii="Bookman Old Style" w:hAnsi="Bookman Old Style"/>
          <w:color w:val="2C3E50"/>
          <w:sz w:val="20"/>
        </w:rPr>
        <w:t xml:space="preserve">ment contracts where delivery timelines have slipped, creating </w:t>
      </w:r>
      <w:r w:rsidRPr="00C921DB">
        <w:rPr>
          <w:rFonts w:ascii="Bookman Old Style" w:hAnsi="Bookman Old Style"/>
          <w:color w:val="2C3E50"/>
          <w:sz w:val="20"/>
        </w:rPr>
        <w:t xml:space="preserve">  uncertaint</w:t>
      </w:r>
      <w:r>
        <w:rPr>
          <w:rFonts w:ascii="Bookman Old Style" w:hAnsi="Bookman Old Style"/>
          <w:color w:val="2C3E50"/>
          <w:sz w:val="20"/>
        </w:rPr>
        <w:t>y over year-end payment timing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Management should review all open commitments above KSh 5,000,</w:t>
      </w:r>
      <w:r>
        <w:rPr>
          <w:rFonts w:ascii="Bookman Old Style" w:hAnsi="Bookman Old Style"/>
          <w:color w:val="2C3E50"/>
          <w:sz w:val="20"/>
        </w:rPr>
        <w:t xml:space="preserve">000 individually and determine </w:t>
      </w:r>
      <w:r w:rsidRPr="00C921DB">
        <w:rPr>
          <w:rFonts w:ascii="Bookman Old Style" w:hAnsi="Bookman Old Style"/>
          <w:color w:val="2C3E50"/>
          <w:sz w:val="20"/>
        </w:rPr>
        <w:t>which can be paid before year-end and which require ca</w:t>
      </w:r>
      <w:r w:rsidRPr="00C921DB">
        <w:rPr>
          <w:rFonts w:ascii="Bookman Old Style" w:hAnsi="Bookman Old Style"/>
          <w:color w:val="2C3E50"/>
          <w:sz w:val="20"/>
        </w:rPr>
        <w:t>rry-forward treatment.</w:t>
      </w:r>
    </w:p>
    <w:p w:rsidR="00445DBD" w:rsidRPr="00C921DB" w:rsidRDefault="00C921DB" w:rsidP="00C921DB">
      <w:pPr>
        <w:pStyle w:val="Heading1"/>
        <w:spacing w:before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1B4332"/>
          <w:sz w:val="32"/>
        </w:rPr>
        <w:t>5. PENDING BILLS</w:t>
      </w:r>
    </w:p>
    <w:p w:rsidR="00C921DB" w:rsidRDefault="00C921DB" w:rsidP="00C921DB">
      <w:p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 xml:space="preserve">The pending bills register as at 31 May 2026 records KSh 1,121,712,000 in </w:t>
      </w:r>
      <w:r w:rsidRPr="00C921DB">
        <w:rPr>
          <w:rFonts w:ascii="Bookman Old Style" w:hAnsi="Bookman Old Style"/>
          <w:color w:val="2C3E50"/>
          <w:sz w:val="20"/>
        </w:rPr>
        <w:br/>
        <w:t>outstanding invoices acros</w:t>
      </w:r>
      <w:r>
        <w:rPr>
          <w:rFonts w:ascii="Bookman Old Style" w:hAnsi="Bookman Old Style"/>
          <w:color w:val="2C3E50"/>
          <w:sz w:val="20"/>
        </w:rPr>
        <w:t>s all financial years. Of this:</w:t>
      </w:r>
    </w:p>
    <w:p w:rsidR="00C921DB" w:rsidRPr="00C921DB" w:rsidRDefault="00C921DB" w:rsidP="00C921DB">
      <w:pPr>
        <w:pStyle w:val="ListParagraph"/>
        <w:numPr>
          <w:ilvl w:val="0"/>
          <w:numId w:val="14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 xml:space="preserve">FY2025/2026 pending bills: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KSh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1,121,712,000</w:t>
      </w:r>
    </w:p>
    <w:p w:rsidR="00C921DB" w:rsidRPr="00C921DB" w:rsidRDefault="00C921DB" w:rsidP="00C921DB">
      <w:pPr>
        <w:pStyle w:val="ListParagraph"/>
        <w:numPr>
          <w:ilvl w:val="0"/>
          <w:numId w:val="14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>Bills aged over 90 days: The most</w:t>
      </w:r>
      <w:r w:rsidRPr="00C921DB">
        <w:rPr>
          <w:rFonts w:ascii="Bookman Old Style" w:hAnsi="Bookman Old Style"/>
          <w:color w:val="2C3E50"/>
          <w:sz w:val="20"/>
        </w:rPr>
        <w:t xml:space="preserve"> significant concern requiring immediate clearance</w:t>
      </w:r>
    </w:p>
    <w:p w:rsidR="00C921DB" w:rsidRPr="00C921DB" w:rsidRDefault="00C921DB" w:rsidP="00C921DB">
      <w:pPr>
        <w:pStyle w:val="ListParagraph"/>
        <w:numPr>
          <w:ilvl w:val="0"/>
          <w:numId w:val="14"/>
        </w:num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Primary reasons: Incomplete documentation (28%), pending approval (22%), insufficient</w:t>
      </w:r>
      <w:r w:rsidRPr="00C921DB">
        <w:rPr>
          <w:rFonts w:ascii="Bookman Old Style" w:hAnsi="Bookman Old Style"/>
          <w:color w:val="2C3E50"/>
          <w:sz w:val="20"/>
        </w:rPr>
        <w:t xml:space="preserve"> budget (18%</w:t>
      </w:r>
      <w:r>
        <w:rPr>
          <w:rFonts w:ascii="Bookman Old Style" w:hAnsi="Bookman Old Style"/>
          <w:color w:val="2C3E50"/>
          <w:sz w:val="20"/>
        </w:rPr>
        <w:t>), cash-flow constraints (15%)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 xml:space="preserve">The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Organisation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must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prioritise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settlement of invoices outstanding for</w:t>
      </w:r>
      <w:r>
        <w:rPr>
          <w:rFonts w:ascii="Bookman Old Style" w:hAnsi="Bookman Old Style"/>
          <w:color w:val="2C3E50"/>
          <w:sz w:val="20"/>
        </w:rPr>
        <w:t xml:space="preserve"> more than 90 days </w:t>
      </w:r>
      <w:r w:rsidRPr="00C921DB">
        <w:rPr>
          <w:rFonts w:ascii="Bookman Old Style" w:hAnsi="Bookman Old Style"/>
          <w:color w:val="2C3E50"/>
          <w:sz w:val="20"/>
        </w:rPr>
        <w:t>to avoid escalating audit concerns and supplier relationship det</w:t>
      </w:r>
      <w:r>
        <w:rPr>
          <w:rFonts w:ascii="Bookman Old Style" w:hAnsi="Bookman Old Style"/>
          <w:color w:val="2C3E50"/>
          <w:sz w:val="20"/>
        </w:rPr>
        <w:t xml:space="preserve">erioration. A payment schedule </w:t>
      </w:r>
      <w:r w:rsidRPr="00C921DB">
        <w:rPr>
          <w:rFonts w:ascii="Bookman Old Style" w:hAnsi="Bookman Old Style"/>
          <w:color w:val="2C3E50"/>
          <w:sz w:val="20"/>
        </w:rPr>
        <w:t xml:space="preserve">should be prepared and approved by the Director, Finance and </w:t>
      </w:r>
      <w:r>
        <w:rPr>
          <w:rFonts w:ascii="Bookman Old Style" w:hAnsi="Bookman Old Style"/>
          <w:color w:val="2C3E50"/>
          <w:sz w:val="20"/>
        </w:rPr>
        <w:t xml:space="preserve">Accounts, with weekly progress </w:t>
      </w:r>
      <w:r w:rsidRPr="00C921DB">
        <w:rPr>
          <w:rFonts w:ascii="Bookman Old Style" w:hAnsi="Bookman Old Style"/>
          <w:color w:val="2C3E50"/>
          <w:sz w:val="20"/>
        </w:rPr>
        <w:t>reporting to the Chief Executive Officer.</w:t>
      </w:r>
    </w:p>
    <w:p w:rsidR="00445DBD" w:rsidRPr="00C921DB" w:rsidRDefault="00C921DB" w:rsidP="00C921DB">
      <w:pPr>
        <w:pStyle w:val="Heading1"/>
        <w:spacing w:before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1B4332"/>
          <w:sz w:val="32"/>
        </w:rPr>
        <w:t>6. BU</w:t>
      </w:r>
      <w:r w:rsidRPr="00C921DB">
        <w:rPr>
          <w:rFonts w:ascii="Bookman Old Style" w:hAnsi="Bookman Old Style"/>
          <w:color w:val="1B4332"/>
          <w:sz w:val="32"/>
        </w:rPr>
        <w:t>DGET REVIEW AND APPROVAL WORKFLOW</w:t>
      </w:r>
    </w:p>
    <w:p w:rsidR="00C921DB" w:rsidRDefault="00C921DB" w:rsidP="00C921DB">
      <w:p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 xml:space="preserve">The budget review and approval process has experienced bottlenecks during the </w:t>
      </w:r>
      <w:r w:rsidRPr="00C921DB">
        <w:rPr>
          <w:rFonts w:ascii="Bookman Old Style" w:hAnsi="Bookman Old Style"/>
          <w:color w:val="2C3E50"/>
          <w:sz w:val="20"/>
        </w:rPr>
        <w:br/>
        <w:t>financial year. As at 31 May 2026, 1,000 requests have been</w:t>
      </w:r>
      <w:r>
        <w:rPr>
          <w:rFonts w:ascii="Bookman Old Style" w:hAnsi="Bookman Old Style"/>
          <w:color w:val="2C3E50"/>
          <w:sz w:val="20"/>
        </w:rPr>
        <w:t xml:space="preserve"> received across all financial </w:t>
      </w:r>
      <w:r w:rsidRPr="00C921DB">
        <w:rPr>
          <w:rFonts w:ascii="Bookman Old Style" w:hAnsi="Bookman Old Style"/>
          <w:color w:val="2C3E50"/>
          <w:sz w:val="20"/>
        </w:rPr>
        <w:t>years, with a significant proportion remaining in th</w:t>
      </w:r>
      <w:r>
        <w:rPr>
          <w:rFonts w:ascii="Bookman Old Style" w:hAnsi="Bookman Old Style"/>
          <w:color w:val="2C3E50"/>
          <w:sz w:val="20"/>
        </w:rPr>
        <w:t>e processing pipeline:</w:t>
      </w:r>
    </w:p>
    <w:p w:rsidR="00C921DB" w:rsidRPr="00C921DB" w:rsidRDefault="00C921DB" w:rsidP="00C921DB">
      <w:pPr>
        <w:pStyle w:val="ListParagraph"/>
        <w:numPr>
          <w:ilvl w:val="0"/>
          <w:numId w:val="16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 xml:space="preserve">Total approved amount: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KSh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3,248,154,000 (FY2025/2026)</w:t>
      </w:r>
    </w:p>
    <w:p w:rsidR="00C921DB" w:rsidRPr="00C921DB" w:rsidRDefault="00C921DB" w:rsidP="00C921DB">
      <w:pPr>
        <w:pStyle w:val="ListParagraph"/>
        <w:numPr>
          <w:ilvl w:val="0"/>
          <w:numId w:val="16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 xml:space="preserve">Total processed amount: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KSh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770,368,000</w:t>
      </w:r>
    </w:p>
    <w:p w:rsidR="00C921DB" w:rsidRPr="00C921DB" w:rsidRDefault="00C921DB" w:rsidP="00C921DB">
      <w:pPr>
        <w:pStyle w:val="ListParagraph"/>
        <w:numPr>
          <w:ilvl w:val="0"/>
          <w:numId w:val="16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 xml:space="preserve">Outstanding approved but unprocessed: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KSh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2,477,786,000</w:t>
      </w:r>
    </w:p>
    <w:p w:rsidR="00C921DB" w:rsidRPr="00C921DB" w:rsidRDefault="00C921DB" w:rsidP="00C921DB">
      <w:pPr>
        <w:pStyle w:val="ListParagraph"/>
        <w:numPr>
          <w:ilvl w:val="0"/>
          <w:numId w:val="16"/>
        </w:num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Requests outstanding more than 30 days: A significant proportion requirin</w:t>
      </w:r>
      <w:r>
        <w:rPr>
          <w:rFonts w:ascii="Bookman Old Style" w:hAnsi="Bookman Old Style"/>
          <w:color w:val="2C3E50"/>
          <w:sz w:val="20"/>
        </w:rPr>
        <w:t>g escalation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The average approval turnaround time suggests processing bot</w:t>
      </w:r>
      <w:r>
        <w:rPr>
          <w:rFonts w:ascii="Bookman Old Style" w:hAnsi="Bookman Old Style"/>
          <w:color w:val="2C3E50"/>
          <w:sz w:val="20"/>
        </w:rPr>
        <w:t xml:space="preserve">tlenecks at the Head of Budget </w:t>
      </w:r>
      <w:r w:rsidRPr="00C921DB">
        <w:rPr>
          <w:rFonts w:ascii="Bookman Old Style" w:hAnsi="Bookman Old Style"/>
          <w:color w:val="2C3E50"/>
          <w:sz w:val="20"/>
        </w:rPr>
        <w:t>level. Management should strengthen processing capacity, i</w:t>
      </w:r>
      <w:r>
        <w:rPr>
          <w:rFonts w:ascii="Bookman Old Style" w:hAnsi="Bookman Old Style"/>
          <w:color w:val="2C3E50"/>
          <w:sz w:val="20"/>
        </w:rPr>
        <w:t xml:space="preserve">mplement a five-day processing </w:t>
      </w:r>
      <w:r w:rsidRPr="00C921DB">
        <w:rPr>
          <w:rFonts w:ascii="Bookman Old Style" w:hAnsi="Bookman Old Style"/>
          <w:color w:val="2C3E50"/>
          <w:sz w:val="20"/>
        </w:rPr>
        <w:t>target, and introduce weekly reporting on unprocessed reques</w:t>
      </w:r>
      <w:r w:rsidRPr="00C921DB">
        <w:rPr>
          <w:rFonts w:ascii="Bookman Old Style" w:hAnsi="Bookman Old Style"/>
          <w:color w:val="2C3E50"/>
          <w:sz w:val="20"/>
        </w:rPr>
        <w:t>t</w:t>
      </w:r>
      <w:r>
        <w:rPr>
          <w:rFonts w:ascii="Bookman Old Style" w:hAnsi="Bookman Old Style"/>
          <w:color w:val="2C3E50"/>
          <w:sz w:val="20"/>
        </w:rPr>
        <w:t xml:space="preserve">s to the Director, Finance and </w:t>
      </w:r>
      <w:r w:rsidRPr="00C921DB">
        <w:rPr>
          <w:rFonts w:ascii="Bookman Old Style" w:hAnsi="Bookman Old Style"/>
          <w:color w:val="2C3E50"/>
          <w:sz w:val="20"/>
        </w:rPr>
        <w:t>Accounts.</w:t>
      </w:r>
    </w:p>
    <w:p w:rsidR="00445DBD" w:rsidRPr="00C921DB" w:rsidRDefault="00C921DB" w:rsidP="00C921DB">
      <w:pPr>
        <w:pStyle w:val="Heading1"/>
        <w:spacing w:before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1B4332"/>
          <w:sz w:val="32"/>
        </w:rPr>
        <w:t>7. REVENUE AND APPROPRIATIONS-IN-AID</w:t>
      </w:r>
    </w:p>
    <w:p w:rsidR="00C921DB" w:rsidRDefault="00C921DB" w:rsidP="00C921DB">
      <w:p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>Revenue collection as at 31 May 2026 stand</w:t>
      </w:r>
      <w:r>
        <w:rPr>
          <w:rFonts w:ascii="Bookman Old Style" w:hAnsi="Bookman Old Style"/>
          <w:color w:val="2C3E50"/>
          <w:sz w:val="20"/>
        </w:rPr>
        <w:t xml:space="preserve">s at KSh 979,529,000 against a </w:t>
      </w:r>
      <w:r w:rsidRPr="00C921DB">
        <w:rPr>
          <w:rFonts w:ascii="Bookman Old Style" w:hAnsi="Bookman Old Style"/>
          <w:color w:val="2C3E50"/>
          <w:sz w:val="20"/>
        </w:rPr>
        <w:t xml:space="preserve">budgeted target of KSh 1,110,412,000, representing an </w:t>
      </w:r>
      <w:r>
        <w:rPr>
          <w:rFonts w:ascii="Bookman Old Style" w:hAnsi="Bookman Old Style"/>
          <w:color w:val="2C3E50"/>
          <w:sz w:val="20"/>
        </w:rPr>
        <w:t>achievement rate of 88.2% (</w:t>
      </w:r>
      <w:proofErr w:type="spellStart"/>
      <w:r>
        <w:rPr>
          <w:rFonts w:ascii="Bookman Old Style" w:hAnsi="Bookman Old Style"/>
          <w:color w:val="2C3E50"/>
          <w:sz w:val="20"/>
        </w:rPr>
        <w:t>KSh</w:t>
      </w:r>
      <w:proofErr w:type="spellEnd"/>
      <w:r>
        <w:rPr>
          <w:rFonts w:ascii="Bookman Old Style" w:hAnsi="Bookman Old Style"/>
          <w:color w:val="2C3E50"/>
          <w:sz w:val="20"/>
        </w:rPr>
        <w:t xml:space="preserve"> </w:t>
      </w:r>
      <w:r w:rsidRPr="00C921DB">
        <w:rPr>
          <w:rFonts w:ascii="Bookman Old Style" w:hAnsi="Bookman Old Style"/>
          <w:color w:val="2C3E50"/>
          <w:sz w:val="20"/>
        </w:rPr>
        <w:t>130,883,000 belo</w:t>
      </w:r>
      <w:r w:rsidRPr="00C921DB">
        <w:rPr>
          <w:rFonts w:ascii="Bookman Old Style" w:hAnsi="Bookman Old Style"/>
          <w:color w:val="2C3E50"/>
          <w:sz w:val="20"/>
        </w:rPr>
        <w:t>w targ</w:t>
      </w:r>
      <w:r>
        <w:rPr>
          <w:rFonts w:ascii="Bookman Old Style" w:hAnsi="Bookman Old Style"/>
          <w:color w:val="2C3E50"/>
          <w:sz w:val="20"/>
        </w:rPr>
        <w:t>et).</w:t>
      </w:r>
      <w:r>
        <w:rPr>
          <w:rFonts w:ascii="Bookman Old Style" w:hAnsi="Bookman Old Style"/>
          <w:color w:val="2C3E50"/>
          <w:sz w:val="20"/>
        </w:rPr>
        <w:br/>
      </w:r>
      <w:r>
        <w:rPr>
          <w:rFonts w:ascii="Bookman Old Style" w:hAnsi="Bookman Old Style"/>
          <w:color w:val="2C3E50"/>
          <w:sz w:val="20"/>
        </w:rPr>
        <w:br/>
        <w:t>Key revenue observations:</w:t>
      </w:r>
    </w:p>
    <w:p w:rsidR="00C921DB" w:rsidRPr="00C921DB" w:rsidRDefault="00C921DB" w:rsidP="00C921DB">
      <w:pPr>
        <w:pStyle w:val="ListParagraph"/>
        <w:numPr>
          <w:ilvl w:val="0"/>
          <w:numId w:val="18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>Service Fees and Licensing Fees are the highest-performing revenue streams</w:t>
      </w:r>
    </w:p>
    <w:p w:rsidR="00C921DB" w:rsidRPr="00C921DB" w:rsidRDefault="00C921DB" w:rsidP="00C921DB">
      <w:pPr>
        <w:pStyle w:val="ListParagraph"/>
        <w:numPr>
          <w:ilvl w:val="0"/>
          <w:numId w:val="18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>Training Fees and Consultancy Income are underperforming against targets</w:t>
      </w:r>
    </w:p>
    <w:p w:rsidR="00C921DB" w:rsidRPr="00C921DB" w:rsidRDefault="00C921DB" w:rsidP="00C921DB">
      <w:pPr>
        <w:pStyle w:val="ListParagraph"/>
        <w:numPr>
          <w:ilvl w:val="0"/>
          <w:numId w:val="18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>Coast Region and North Eastern Region are experiencing the largest revenue shortfalls</w:t>
      </w:r>
    </w:p>
    <w:p w:rsidR="00C921DB" w:rsidRPr="00C921DB" w:rsidRDefault="00C921DB" w:rsidP="00C921DB">
      <w:pPr>
        <w:pStyle w:val="ListParagraph"/>
        <w:numPr>
          <w:ilvl w:val="0"/>
          <w:numId w:val="18"/>
        </w:num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lastRenderedPageBreak/>
        <w:t>Banking delays in excess of 5 days have been flagged o</w:t>
      </w:r>
      <w:r>
        <w:rPr>
          <w:rFonts w:ascii="Bookman Old Style" w:hAnsi="Bookman Old Style"/>
          <w:color w:val="2C3E50"/>
          <w:sz w:val="20"/>
        </w:rPr>
        <w:t>n several regional collections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 xml:space="preserve">Revenue managers must intensify collection efforts in June 2026, issue outstanding demand </w:t>
      </w:r>
      <w:r w:rsidRPr="00C921DB">
        <w:rPr>
          <w:rFonts w:ascii="Bookman Old Style" w:hAnsi="Bookman Old Style"/>
          <w:color w:val="2C3E50"/>
          <w:sz w:val="20"/>
        </w:rPr>
        <w:br/>
        <w:t>notices, and ensure all collections are banked within t</w:t>
      </w:r>
      <w:r w:rsidRPr="00C921DB">
        <w:rPr>
          <w:rFonts w:ascii="Bookman Old Style" w:hAnsi="Bookman Old Style"/>
          <w:color w:val="2C3E50"/>
          <w:sz w:val="20"/>
        </w:rPr>
        <w:t>he prescribed 5-day window.</w:t>
      </w:r>
    </w:p>
    <w:p w:rsidR="00445DBD" w:rsidRPr="00C921DB" w:rsidRDefault="00C921DB" w:rsidP="00C921DB">
      <w:pPr>
        <w:pStyle w:val="Heading1"/>
        <w:spacing w:before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1B4332"/>
          <w:sz w:val="32"/>
        </w:rPr>
        <w:t>8. FORECAST YEAR-END POSITION</w:t>
      </w:r>
    </w:p>
    <w:p w:rsidR="00C921DB" w:rsidRDefault="00C921DB" w:rsidP="00C921DB">
      <w:p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>Based on the blended four-method forecast model:</w:t>
      </w:r>
      <w:r w:rsidRPr="00C921DB">
        <w:rPr>
          <w:rFonts w:ascii="Bookman Old Style" w:hAnsi="Bookman Old Style"/>
          <w:color w:val="2C3E50"/>
          <w:sz w:val="20"/>
        </w:rPr>
        <w:br/>
      </w:r>
      <w:r w:rsidRPr="00C921DB">
        <w:rPr>
          <w:rFonts w:ascii="Bookman Old Style" w:hAnsi="Bookman Old Style"/>
          <w:color w:val="2C3E50"/>
          <w:sz w:val="20"/>
        </w:rPr>
        <w:br/>
        <w:t>METHOD                          | YEAR-END FORECAST | ABSORPTION</w:t>
      </w:r>
      <w:r w:rsidRPr="00C921DB">
        <w:rPr>
          <w:rFonts w:ascii="Bookman Old Style" w:hAnsi="Bookman Old Style"/>
          <w:color w:val="2C3E50"/>
          <w:sz w:val="20"/>
        </w:rPr>
        <w:br/>
        <w:t>Straight-Line Run Rate          | KSh 1,612,762,691 | 94.9%</w:t>
      </w:r>
      <w:r w:rsidRPr="00C921DB">
        <w:rPr>
          <w:rFonts w:ascii="Bookman Old Style" w:hAnsi="Bookman Old Style"/>
          <w:color w:val="2C3E50"/>
          <w:sz w:val="20"/>
        </w:rPr>
        <w:br/>
        <w:t xml:space="preserve">3-Month Moving Average </w:t>
      </w:r>
      <w:r w:rsidRPr="00C921DB">
        <w:rPr>
          <w:rFonts w:ascii="Bookman Old Style" w:hAnsi="Bookman Old Style"/>
          <w:color w:val="2C3E50"/>
          <w:sz w:val="20"/>
        </w:rPr>
        <w:t xml:space="preserve">         | KSh 1,653,229,667 | 97.2%</w:t>
      </w:r>
      <w:r w:rsidRPr="00C921DB">
        <w:rPr>
          <w:rFonts w:ascii="Bookman Old Style" w:hAnsi="Bookman Old Style"/>
          <w:color w:val="2C3E50"/>
          <w:sz w:val="20"/>
        </w:rPr>
        <w:br/>
        <w:t>Seasonal Adjustment             | KSh 1,722,723,783 | 101.3%</w:t>
      </w:r>
      <w:r w:rsidRPr="00C921DB">
        <w:rPr>
          <w:rFonts w:ascii="Bookman Old Style" w:hAnsi="Bookman Old Style"/>
          <w:color w:val="2C3E50"/>
          <w:sz w:val="20"/>
        </w:rPr>
        <w:br/>
        <w:t>Commitment-Adjusted             | KSh 2,178,365,800 | 128.1%</w:t>
      </w:r>
      <w:r w:rsidRPr="00C921DB">
        <w:rPr>
          <w:rFonts w:ascii="Bookman Old Style" w:hAnsi="Bookman Old Style"/>
          <w:color w:val="2C3E50"/>
          <w:sz w:val="20"/>
        </w:rPr>
        <w:br/>
        <w:t>BLENDED SELECTED FORECAST       | KSh 1,763,490,330 | 103.7%</w:t>
      </w:r>
      <w:r w:rsidRPr="00C921DB">
        <w:rPr>
          <w:rFonts w:ascii="Bookman Old Style" w:hAnsi="Bookman Old Style"/>
          <w:color w:val="2C3E50"/>
          <w:sz w:val="20"/>
        </w:rPr>
        <w:br/>
      </w:r>
      <w:r w:rsidRPr="00C921DB">
        <w:rPr>
          <w:rFonts w:ascii="Bookman Old Style" w:hAnsi="Bookman Old Style"/>
          <w:color w:val="2C3E50"/>
          <w:sz w:val="20"/>
        </w:rPr>
        <w:br/>
        <w:t>The blended forecast of KSh 1,763,4</w:t>
      </w:r>
      <w:r w:rsidRPr="00C921DB">
        <w:rPr>
          <w:rFonts w:ascii="Bookman Old Style" w:hAnsi="Bookman Old Style"/>
          <w:color w:val="2C3E50"/>
          <w:sz w:val="20"/>
        </w:rPr>
        <w:t>90,330 (103.7%) presen</w:t>
      </w:r>
      <w:r>
        <w:rPr>
          <w:rFonts w:ascii="Bookman Old Style" w:hAnsi="Bookman Old Style"/>
          <w:color w:val="2C3E50"/>
          <w:sz w:val="20"/>
        </w:rPr>
        <w:t xml:space="preserve">ts an over-expenditure risk of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KSh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63,490,330 against the approved budget. Under the optimistic</w:t>
      </w:r>
      <w:r>
        <w:rPr>
          <w:rFonts w:ascii="Bookman Old Style" w:hAnsi="Bookman Old Style"/>
          <w:color w:val="2C3E50"/>
          <w:sz w:val="20"/>
        </w:rPr>
        <w:t xml:space="preserve"> scenario (KSh 1,710,585,620), </w:t>
      </w:r>
      <w:r w:rsidRPr="00C921DB">
        <w:rPr>
          <w:rFonts w:ascii="Bookman Old Style" w:hAnsi="Bookman Old Style"/>
          <w:color w:val="2C3E50"/>
          <w:sz w:val="20"/>
        </w:rPr>
        <w:t>the Organisation would still marginally exceed the appro</w:t>
      </w:r>
      <w:r>
        <w:rPr>
          <w:rFonts w:ascii="Bookman Old Style" w:hAnsi="Bookman Old Style"/>
          <w:color w:val="2C3E50"/>
          <w:sz w:val="20"/>
        </w:rPr>
        <w:t xml:space="preserve">ved ceiling by KSh 10,585,620, </w:t>
      </w:r>
      <w:r w:rsidRPr="00C921DB">
        <w:rPr>
          <w:rFonts w:ascii="Bookman Old Style" w:hAnsi="Bookman Old Style"/>
          <w:color w:val="2C3E50"/>
          <w:sz w:val="20"/>
        </w:rPr>
        <w:t>suggesting that ev</w:t>
      </w:r>
      <w:r w:rsidRPr="00C921DB">
        <w:rPr>
          <w:rFonts w:ascii="Bookman Old Style" w:hAnsi="Bookman Old Style"/>
          <w:color w:val="2C3E50"/>
          <w:sz w:val="20"/>
        </w:rPr>
        <w:t>en with improved implementation, over-ex</w:t>
      </w:r>
      <w:r>
        <w:rPr>
          <w:rFonts w:ascii="Bookman Old Style" w:hAnsi="Bookman Old Style"/>
          <w:color w:val="2C3E50"/>
          <w:sz w:val="20"/>
        </w:rPr>
        <w:t xml:space="preserve">penditure risk cannot be fully </w:t>
      </w:r>
      <w:r w:rsidRPr="00C921DB">
        <w:rPr>
          <w:rFonts w:ascii="Bookman Old Style" w:hAnsi="Bookman Old Style"/>
          <w:color w:val="2C3E50"/>
          <w:sz w:val="20"/>
        </w:rPr>
        <w:t>eliminated without immediate management controls.</w:t>
      </w:r>
      <w:r w:rsidRPr="00C921DB">
        <w:rPr>
          <w:rFonts w:ascii="Bookman Old Style" w:hAnsi="Bookman Old Style"/>
          <w:color w:val="2C3E50"/>
          <w:sz w:val="20"/>
        </w:rPr>
        <w:br/>
      </w:r>
      <w:r>
        <w:rPr>
          <w:rFonts w:ascii="Bookman Old Style" w:hAnsi="Bookman Old Style"/>
          <w:color w:val="2C3E50"/>
          <w:sz w:val="20"/>
        </w:rPr>
        <w:br/>
        <w:t>Three scenarios are presented:</w:t>
      </w:r>
    </w:p>
    <w:p w:rsidR="00C921DB" w:rsidRPr="00C921DB" w:rsidRDefault="00C921DB" w:rsidP="00C921DB">
      <w:pPr>
        <w:pStyle w:val="ListParagraph"/>
        <w:numPr>
          <w:ilvl w:val="0"/>
          <w:numId w:val="22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 xml:space="preserve">Base Case: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KSh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1,763,490,330 — over-expenditure of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KSh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63.5M</w:t>
      </w:r>
    </w:p>
    <w:p w:rsidR="00C921DB" w:rsidRPr="00C921DB" w:rsidRDefault="00C921DB" w:rsidP="00C921DB">
      <w:pPr>
        <w:pStyle w:val="ListParagraph"/>
        <w:numPr>
          <w:ilvl w:val="0"/>
          <w:numId w:val="22"/>
        </w:numPr>
        <w:spacing w:after="0" w:line="240" w:lineRule="auto"/>
        <w:rPr>
          <w:rFonts w:ascii="Bookman Old Style" w:hAnsi="Bookman Old Style"/>
          <w:color w:val="2C3E50"/>
          <w:sz w:val="20"/>
        </w:rPr>
      </w:pPr>
      <w:r w:rsidRPr="00C921DB">
        <w:rPr>
          <w:rFonts w:ascii="Bookman Old Style" w:hAnsi="Bookman Old Style"/>
          <w:color w:val="2C3E50"/>
          <w:sz w:val="20"/>
        </w:rPr>
        <w:t xml:space="preserve">Optimistic: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KSh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1,710,585,620 — over-expenditure of KSh 10.6M  </w:t>
      </w:r>
    </w:p>
    <w:p w:rsidR="00445DBD" w:rsidRPr="00C921DB" w:rsidRDefault="00C921DB" w:rsidP="00C921DB">
      <w:pPr>
        <w:pStyle w:val="ListParagraph"/>
        <w:numPr>
          <w:ilvl w:val="0"/>
          <w:numId w:val="22"/>
        </w:num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 xml:space="preserve">Adverse: </w:t>
      </w:r>
      <w:proofErr w:type="spellStart"/>
      <w:r w:rsidRPr="00C921DB">
        <w:rPr>
          <w:rFonts w:ascii="Bookman Old Style" w:hAnsi="Bookman Old Style"/>
          <w:color w:val="2C3E50"/>
          <w:sz w:val="20"/>
        </w:rPr>
        <w:t>KSh</w:t>
      </w:r>
      <w:proofErr w:type="spellEnd"/>
      <w:r w:rsidRPr="00C921DB">
        <w:rPr>
          <w:rFonts w:ascii="Bookman Old Style" w:hAnsi="Bookman Old Style"/>
          <w:color w:val="2C3E50"/>
          <w:sz w:val="20"/>
        </w:rPr>
        <w:t xml:space="preserve"> 1,904,569,556 — over-expenditure of KSh 204.6M</w:t>
      </w:r>
    </w:p>
    <w:p w:rsidR="00445DBD" w:rsidRPr="00C921DB" w:rsidRDefault="00C921DB" w:rsidP="00C921DB">
      <w:pPr>
        <w:pStyle w:val="Heading1"/>
        <w:spacing w:before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1B4332"/>
          <w:sz w:val="32"/>
        </w:rPr>
        <w:t>9. MAJOR RISKS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b/>
          <w:color w:val="2C3E50"/>
          <w:sz w:val="20"/>
        </w:rPr>
        <w:t>RISK 1 – FORECAST OVER-EXPENDITURE (Risk Level: HIGH)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The blended forecast exceeds approved budget by KSh 63.5M. Five vote lines are approaching exhaust</w:t>
      </w:r>
      <w:r w:rsidRPr="00C921DB">
        <w:rPr>
          <w:rFonts w:ascii="Bookman Old Style" w:hAnsi="Bookman Old Style"/>
          <w:color w:val="2C3E50"/>
          <w:sz w:val="20"/>
        </w:rPr>
        <w:t>ion. Immediate expenditure controls and reallocation from underspent votes are required.</w:t>
      </w:r>
    </w:p>
    <w:p w:rsidR="00445DBD" w:rsidRPr="00C921DB" w:rsidRDefault="00445DBD" w:rsidP="00C921DB">
      <w:pPr>
        <w:spacing w:after="0" w:line="240" w:lineRule="auto"/>
        <w:rPr>
          <w:rFonts w:ascii="Bookman Old Style" w:hAnsi="Bookman Old Style"/>
        </w:rPr>
      </w:pP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b/>
          <w:color w:val="2C3E50"/>
          <w:sz w:val="20"/>
        </w:rPr>
        <w:t>RISK 2 – HIGH COMMITMENT EXPOSURE (Risk Level: HIGH)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 xml:space="preserve">KSh 700M in open commitments creates cash exposure that may crystallise before year-end. Several commitments are </w:t>
      </w:r>
      <w:r w:rsidRPr="00C921DB">
        <w:rPr>
          <w:rFonts w:ascii="Bookman Old Style" w:hAnsi="Bookman Old Style"/>
          <w:color w:val="2C3E50"/>
          <w:sz w:val="20"/>
        </w:rPr>
        <w:t>overdue and may require emergency payment.</w:t>
      </w:r>
    </w:p>
    <w:p w:rsidR="00445DBD" w:rsidRPr="00C921DB" w:rsidRDefault="00445DBD" w:rsidP="00C921DB">
      <w:pPr>
        <w:spacing w:after="0" w:line="240" w:lineRule="auto"/>
        <w:rPr>
          <w:rFonts w:ascii="Bookman Old Style" w:hAnsi="Bookman Old Style"/>
        </w:rPr>
      </w:pP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b/>
          <w:color w:val="2C3E50"/>
          <w:sz w:val="20"/>
        </w:rPr>
        <w:t>RISK 3 – REVENUE UNDERPERFORMANCE (Risk Level: MEDIUM)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Revenue is KSh 130.9M (11.8%) below target. Continued underperformance will reduce AIA funding available in Q4 and may trigger cash-flow pressures.</w:t>
      </w:r>
    </w:p>
    <w:p w:rsidR="00445DBD" w:rsidRPr="00C921DB" w:rsidRDefault="00445DBD" w:rsidP="00C921DB">
      <w:pPr>
        <w:spacing w:after="0" w:line="240" w:lineRule="auto"/>
        <w:rPr>
          <w:rFonts w:ascii="Bookman Old Style" w:hAnsi="Bookman Old Style"/>
        </w:rPr>
      </w:pP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b/>
          <w:color w:val="2C3E50"/>
          <w:sz w:val="20"/>
        </w:rPr>
        <w:t>RISK 4 –</w:t>
      </w:r>
      <w:r w:rsidRPr="00C921DB">
        <w:rPr>
          <w:rFonts w:ascii="Bookman Old Style" w:hAnsi="Bookman Old Style"/>
          <w:b/>
          <w:color w:val="2C3E50"/>
          <w:sz w:val="20"/>
        </w:rPr>
        <w:t xml:space="preserve"> PROCUREMENT DELAYS (Risk Level: MEDIUM)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Multiple contracts are delayed by 30-120 days. If not completed by 30 June 2026, expenditure will be understated and activities will not be delivered.</w:t>
      </w:r>
    </w:p>
    <w:p w:rsidR="00445DBD" w:rsidRPr="00C921DB" w:rsidRDefault="00445DBD" w:rsidP="00C921DB">
      <w:pPr>
        <w:spacing w:after="0" w:line="240" w:lineRule="auto"/>
        <w:rPr>
          <w:rFonts w:ascii="Bookman Old Style" w:hAnsi="Bookman Old Style"/>
        </w:rPr>
      </w:pP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b/>
          <w:color w:val="2C3E50"/>
          <w:sz w:val="20"/>
        </w:rPr>
        <w:t>RISK 5 – DATA AND AUDIT READINESS (Risk Level: MEDIUM)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Outstand</w:t>
      </w:r>
      <w:r w:rsidRPr="00C921DB">
        <w:rPr>
          <w:rFonts w:ascii="Bookman Old Style" w:hAnsi="Bookman Old Style"/>
          <w:color w:val="2C3E50"/>
          <w:sz w:val="20"/>
        </w:rPr>
        <w:t>ing audit exceptions and missing supporting documents reduce audit readiness. All exceptions should be resolved before the financial year closes.</w:t>
      </w:r>
    </w:p>
    <w:p w:rsidR="00445DBD" w:rsidRPr="00C921DB" w:rsidRDefault="00445DBD" w:rsidP="00C921DB">
      <w:pPr>
        <w:spacing w:after="0" w:line="240" w:lineRule="auto"/>
        <w:rPr>
          <w:rFonts w:ascii="Bookman Old Style" w:hAnsi="Bookman Old Style"/>
        </w:rPr>
      </w:pPr>
    </w:p>
    <w:p w:rsidR="00445DBD" w:rsidRPr="00C921DB" w:rsidRDefault="00C921DB" w:rsidP="00C921DB">
      <w:pPr>
        <w:pStyle w:val="Heading1"/>
        <w:spacing w:before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1B4332"/>
          <w:sz w:val="32"/>
        </w:rPr>
        <w:t>10. RECOMMENDED MANAGEMENT ACTIONS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1. Instruct the Director, Finance and Accounts to convene an emergency yea</w:t>
      </w:r>
      <w:r w:rsidRPr="00C921DB">
        <w:rPr>
          <w:rFonts w:ascii="Bookman Old Style" w:hAnsi="Bookman Old Style"/>
          <w:color w:val="2C3E50"/>
          <w:sz w:val="20"/>
        </w:rPr>
        <w:t>r-end expenditure review meeting by 10 June 2026, covering all cost centres rated Red or Amber.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lastRenderedPageBreak/>
        <w:t>2. Issue a CEO directive restricting further expenditure in vote lines within 5% of their approved ceilings, effective immediately.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3. Direct the Head of Budget</w:t>
      </w:r>
      <w:r w:rsidRPr="00C921DB">
        <w:rPr>
          <w:rFonts w:ascii="Bookman Old Style" w:hAnsi="Bookman Old Style"/>
          <w:color w:val="2C3E50"/>
          <w:sz w:val="20"/>
        </w:rPr>
        <w:t xml:space="preserve"> to clear all unprocessed AIE requests within 5 working days.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4. Require Regional Managers to submit and implement revised Q4 work plans by 12 June 2026.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5. Instruct the Chief Accountant to prepare a payment schedule for all pending bills &gt;90 days and seek</w:t>
      </w:r>
      <w:r w:rsidRPr="00C921DB">
        <w:rPr>
          <w:rFonts w:ascii="Bookman Old Style" w:hAnsi="Bookman Old Style"/>
          <w:color w:val="2C3E50"/>
          <w:sz w:val="20"/>
        </w:rPr>
        <w:t xml:space="preserve"> Board approval for clearance.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6. Direct the Revenue Manager to implement an emergency revenue collection drive for June 2026.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>7. Require the Head of Internal Audit to report on the status of all critical and high-risk audit exceptions by 15 June 2026.</w:t>
      </w: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color w:val="2C3E50"/>
          <w:sz w:val="20"/>
        </w:rPr>
        <w:t xml:space="preserve">8. </w:t>
      </w:r>
      <w:r w:rsidRPr="00C921DB">
        <w:rPr>
          <w:rFonts w:ascii="Bookman Old Style" w:hAnsi="Bookman Old Style"/>
          <w:color w:val="2C3E50"/>
          <w:sz w:val="20"/>
        </w:rPr>
        <w:t>Prepare a supplementary budget request for Board consideration if forecast over-expenditure cannot be reduced below KSh 30M through internal management actions.</w:t>
      </w:r>
    </w:p>
    <w:p w:rsidR="00445DBD" w:rsidRPr="00C921DB" w:rsidRDefault="00445DBD" w:rsidP="00C921DB">
      <w:pPr>
        <w:spacing w:after="0" w:line="240" w:lineRule="auto"/>
        <w:rPr>
          <w:rFonts w:ascii="Bookman Old Style" w:hAnsi="Bookman Old Style"/>
        </w:rPr>
      </w:pPr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b/>
          <w:i/>
          <w:color w:val="2C3E50"/>
          <w:sz w:val="20"/>
        </w:rPr>
        <w:t>Prepared by:</w:t>
      </w:r>
      <w:r w:rsidRPr="00C921DB">
        <w:rPr>
          <w:rFonts w:ascii="Bookman Old Style" w:hAnsi="Bookman Old Style"/>
          <w:i/>
          <w:color w:val="2C3E50"/>
          <w:sz w:val="20"/>
        </w:rPr>
        <w:t xml:space="preserve"> </w:t>
      </w:r>
      <w:r>
        <w:rPr>
          <w:rFonts w:ascii="Bookman Old Style" w:hAnsi="Bookman Old Style"/>
          <w:i/>
          <w:color w:val="2C3E50"/>
          <w:sz w:val="20"/>
        </w:rPr>
        <w:t xml:space="preserve">Notable Niche </w:t>
      </w:r>
      <w:proofErr w:type="spellStart"/>
      <w:r>
        <w:rPr>
          <w:rFonts w:ascii="Bookman Old Style" w:hAnsi="Bookman Old Style"/>
          <w:i/>
          <w:color w:val="2C3E50"/>
          <w:sz w:val="20"/>
        </w:rPr>
        <w:t>Analytic</w:t>
      </w:r>
      <w:bookmarkStart w:id="0" w:name="_GoBack"/>
      <w:bookmarkEnd w:id="0"/>
      <w:r>
        <w:rPr>
          <w:rFonts w:ascii="Bookman Old Style" w:hAnsi="Bookman Old Style"/>
          <w:i/>
          <w:color w:val="2C3E50"/>
          <w:sz w:val="20"/>
        </w:rPr>
        <w:t>a</w:t>
      </w:r>
      <w:proofErr w:type="spellEnd"/>
    </w:p>
    <w:p w:rsidR="00445DBD" w:rsidRPr="00C921DB" w:rsidRDefault="00C921DB" w:rsidP="00C921DB">
      <w:pPr>
        <w:spacing w:after="0" w:line="240" w:lineRule="auto"/>
        <w:rPr>
          <w:rFonts w:ascii="Bookman Old Style" w:hAnsi="Bookman Old Style"/>
        </w:rPr>
      </w:pPr>
      <w:r w:rsidRPr="00C921DB">
        <w:rPr>
          <w:rFonts w:ascii="Bookman Old Style" w:hAnsi="Bookman Old Style"/>
          <w:b/>
          <w:i/>
          <w:color w:val="2C3E50"/>
          <w:sz w:val="20"/>
        </w:rPr>
        <w:t>Date:</w:t>
      </w:r>
      <w:r w:rsidRPr="00C921DB">
        <w:rPr>
          <w:rFonts w:ascii="Bookman Old Style" w:hAnsi="Bookman Old Style"/>
          <w:i/>
          <w:color w:val="2C3E50"/>
          <w:sz w:val="20"/>
        </w:rPr>
        <w:t xml:space="preserve"> June 2026 | Classification: Management</w:t>
      </w:r>
      <w:r w:rsidRPr="00C921DB">
        <w:rPr>
          <w:rFonts w:ascii="Bookman Old Style" w:hAnsi="Bookman Old Style"/>
          <w:i/>
          <w:color w:val="2C3E50"/>
          <w:sz w:val="20"/>
        </w:rPr>
        <w:t xml:space="preserve"> Restricted | Synthetic Data Only</w:t>
      </w:r>
    </w:p>
    <w:sectPr w:rsidR="00445DBD" w:rsidRPr="00C921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26EE"/>
    <w:multiLevelType w:val="hybridMultilevel"/>
    <w:tmpl w:val="1AE2AC92"/>
    <w:lvl w:ilvl="0" w:tplc="92C8B05A">
      <w:numFmt w:val="bullet"/>
      <w:lvlText w:val="•"/>
      <w:lvlJc w:val="left"/>
      <w:pPr>
        <w:ind w:left="720" w:hanging="360"/>
      </w:pPr>
      <w:rPr>
        <w:rFonts w:ascii="Bookman Old Style" w:eastAsiaTheme="minorEastAsia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77790B"/>
    <w:multiLevelType w:val="hybridMultilevel"/>
    <w:tmpl w:val="B80673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2000A"/>
    <w:multiLevelType w:val="hybridMultilevel"/>
    <w:tmpl w:val="A78C46BC"/>
    <w:lvl w:ilvl="0" w:tplc="66A076D0">
      <w:numFmt w:val="bullet"/>
      <w:lvlText w:val="•"/>
      <w:lvlJc w:val="left"/>
      <w:pPr>
        <w:ind w:left="720" w:hanging="360"/>
      </w:pPr>
      <w:rPr>
        <w:rFonts w:ascii="Bookman Old Style" w:eastAsiaTheme="minorEastAsia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920949"/>
    <w:multiLevelType w:val="hybridMultilevel"/>
    <w:tmpl w:val="C08E7B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738CE"/>
    <w:multiLevelType w:val="hybridMultilevel"/>
    <w:tmpl w:val="DC7C2E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774D5"/>
    <w:multiLevelType w:val="hybridMultilevel"/>
    <w:tmpl w:val="C54EF468"/>
    <w:lvl w:ilvl="0" w:tplc="5ED6BE8E">
      <w:numFmt w:val="bullet"/>
      <w:lvlText w:val="•"/>
      <w:lvlJc w:val="left"/>
      <w:pPr>
        <w:ind w:left="720" w:hanging="360"/>
      </w:pPr>
      <w:rPr>
        <w:rFonts w:ascii="Bookman Old Style" w:eastAsiaTheme="minorEastAsia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516D8"/>
    <w:multiLevelType w:val="hybridMultilevel"/>
    <w:tmpl w:val="04D019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C1698"/>
    <w:multiLevelType w:val="hybridMultilevel"/>
    <w:tmpl w:val="0584E2A6"/>
    <w:lvl w:ilvl="0" w:tplc="86028EA6">
      <w:numFmt w:val="bullet"/>
      <w:lvlText w:val="•"/>
      <w:lvlJc w:val="left"/>
      <w:pPr>
        <w:ind w:left="720" w:hanging="360"/>
      </w:pPr>
      <w:rPr>
        <w:rFonts w:ascii="Bookman Old Style" w:eastAsiaTheme="minorEastAsia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F4FEF"/>
    <w:multiLevelType w:val="hybridMultilevel"/>
    <w:tmpl w:val="7DDC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93389"/>
    <w:multiLevelType w:val="hybridMultilevel"/>
    <w:tmpl w:val="9A2865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C78BD"/>
    <w:multiLevelType w:val="hybridMultilevel"/>
    <w:tmpl w:val="60BEBC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C40D2"/>
    <w:multiLevelType w:val="hybridMultilevel"/>
    <w:tmpl w:val="DCF4153E"/>
    <w:lvl w:ilvl="0" w:tplc="6630ACF6">
      <w:numFmt w:val="bullet"/>
      <w:lvlText w:val="•"/>
      <w:lvlJc w:val="left"/>
      <w:pPr>
        <w:ind w:left="720" w:hanging="360"/>
      </w:pPr>
      <w:rPr>
        <w:rFonts w:ascii="Bookman Old Style" w:eastAsiaTheme="minorEastAsia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91247B"/>
    <w:multiLevelType w:val="hybridMultilevel"/>
    <w:tmpl w:val="C4EC1F9A"/>
    <w:lvl w:ilvl="0" w:tplc="B08EC51E">
      <w:numFmt w:val="bullet"/>
      <w:lvlText w:val="•"/>
      <w:lvlJc w:val="left"/>
      <w:pPr>
        <w:ind w:left="720" w:hanging="360"/>
      </w:pPr>
      <w:rPr>
        <w:rFonts w:ascii="Bookman Old Style" w:eastAsiaTheme="minorEastAsia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21"/>
  </w:num>
  <w:num w:numId="12">
    <w:abstractNumId w:val="15"/>
  </w:num>
  <w:num w:numId="13">
    <w:abstractNumId w:val="16"/>
  </w:num>
  <w:num w:numId="14">
    <w:abstractNumId w:val="19"/>
  </w:num>
  <w:num w:numId="15">
    <w:abstractNumId w:val="20"/>
  </w:num>
  <w:num w:numId="16">
    <w:abstractNumId w:val="12"/>
  </w:num>
  <w:num w:numId="17">
    <w:abstractNumId w:val="9"/>
  </w:num>
  <w:num w:numId="18">
    <w:abstractNumId w:val="18"/>
  </w:num>
  <w:num w:numId="19">
    <w:abstractNumId w:val="14"/>
  </w:num>
  <w:num w:numId="20">
    <w:abstractNumId w:val="17"/>
  </w:num>
  <w:num w:numId="21">
    <w:abstractNumId w:val="11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DBD"/>
    <w:rsid w:val="00AA1D8D"/>
    <w:rsid w:val="00B47730"/>
    <w:rsid w:val="00C921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F8BA6"/>
  <w14:defaultImageDpi w14:val="300"/>
  <w15:docId w15:val="{F21D44B5-A472-4B4A-B067-D76D11506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09F527-185B-4951-AAAA-18F727324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1437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2026-06-20T09:35:00Z</dcterms:modified>
  <cp:category/>
</cp:coreProperties>
</file>