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40"/>
        <w:jc w:val="center"/>
      </w:pPr>
      <w:r>
        <w:rPr>
          <w:b/>
          <w:color w:val="1F4D78"/>
          <w:sz w:val="60"/>
        </w:rPr>
        <w:t>Transformer</w:t>
        <w:br/>
        <w:t>Learning Lab</w:t>
      </w:r>
    </w:p>
    <w:p>
      <w:pPr>
        <w:jc w:val="center"/>
      </w:pPr>
      <w:r>
        <w:rPr>
          <w:sz w:val="32"/>
        </w:rPr>
        <w:t>Changes, explanations, and verification</w:t>
      </w:r>
    </w:p>
    <w:p>
      <w:pPr>
        <w:jc w:val="center"/>
      </w:pPr>
      <w:r>
        <w:t>SmolLM2-135M · Version 2.0 · 7 September 2026</w:t>
      </w:r>
    </w:p>
    <w:p>
      <w:pPr>
        <w:pStyle w:val="Heading2"/>
      </w:pPr>
      <w:r>
        <w:t>What you are receiving</w:t>
      </w:r>
    </w:p>
    <w:p>
      <w:r>
        <w:t>The supplied local Python/HTML demonstration has been expanded into a nine-section learning instrument. The full updated application is in Transformer_Learning_Lab_v2.zip. This guide explains the corrections, the new experiments, the limits of their interpretation, and how to finish verification on your machine.</w:t>
      </w:r>
    </w:p>
    <w:p>
      <w:pPr>
        <w:pStyle w:val="Heading2"/>
      </w:pPr>
      <w:r>
        <w:t>Verification status: partial, explicitly bounded</w:t>
      </w:r>
    </w:p>
    <w:p>
      <w:r>
        <w:t>50 offline tests passed: 26 NumPy mathematics checks, 15 JavaScript mathematics checks, and 9 interface-rendering smoke tests. Python compilation, JavaScript syntax and shell syntax checks also passed. These establish useful properties of the code and teaching mathematics, not the correctness of live SmolLM2 measurements.</w:t>
      </w:r>
    </w:p>
    <w:p>
      <w:r>
        <w:t>The 20 model/API tests and real-checkpoint acceptance checks were not run. Required dependencies were absent, and the CPU PyTorch download attempt was blocked by network approval. No fresh model probabilities, intervention results, or speed claims are presented as verified. Real-browser/end-to-end testing is also outstanding.</w:t>
      </w:r>
    </w:p>
    <w:p>
      <w:pPr>
        <w:pStyle w:val="Heading2"/>
      </w:pPr>
      <w:r>
        <w:t>How to use this guide</w:t>
      </w:r>
    </w:p>
    <w:p>
      <w:r>
        <w:t>Start with installation (§1), then read the source audit (§2) and learning path (§§3–8). The implementation notes (§9) explain the changed file/API contract. The test record (§10) and acceptance checklist (§11) tell you exactly what remains. Primary references are collected in §12, with clickable citations beside the relevant claims.</w:t>
      </w:r>
    </w:p>
    <w:p>
      <w:pPr>
        <w:pStyle w:val="Heading1"/>
        <w:pageBreakBefore/>
      </w:pPr>
      <w:r>
        <w:t>1. Install, preserve, and launch</w:t>
      </w:r>
    </w:p>
    <w:p>
      <w:pPr>
        <w:pStyle w:val="Heading2"/>
      </w:pPr>
      <w:r>
        <w:t>Use the whole package</w:t>
      </w:r>
    </w:p>
    <w:p>
      <w:r>
        <w:t>Extract the ZIP into a new folder. Do not overwrite just the two old files: the replacement separates API routing, model instrumentation, reference mathematics, interface code and styling. It requires main.py, engine.py, math_core.py and the complete static folder. Untouched uploaded files are preserved in originals/.</w:t>
      </w:r>
    </w:p>
    <w:p>
      <w:r>
        <w:t>The originals are historical references, not the revised launch path. In particular, do not run their old pickle-cache loading path with an unknown cache. No model weights, virtual environment, credentials or dependency downloads are bundled.</w:t>
      </w:r>
    </w:p>
    <w:p>
      <w:pPr>
        <w:pStyle w:val="Heading2"/>
      </w:pPr>
      <w:r>
        <w:t>Reference environment and first start</w:t>
      </w:r>
    </w:p>
    <w:p>
      <w:r>
        <w:t>Use 64-bit CPython 3.11 or 3.12. The old file’s Python 3.14 comment is not the supported environment for the pinned stack. requirements.txt specifies PyTorch 2.5.1, Transformers 4.46.3, NumPy 2.1.3, FastAPI 0.115.6, Uvicorn 0.34.0 and HTTPX 0.28.1. These are interface pins, not a claim of current security approval.</w:t>
      </w:r>
    </w:p>
    <w:p>
      <w:pPr>
        <w:pStyle w:val="ListBullet"/>
        <w:numPr>
          <w:ilvl w:val="0"/>
          <w:numId w:val="42"/>
        </w:numPr>
      </w:pPr>
      <w:r>
        <w:t>Open README.md for the copyable Windows PowerShell or Linux setup commands. Create .venv, install CPU PyTorch, then install requirements.txt. On macOS, use the normal PyPI torch package as described there; that setup has not been tested here.</w:t>
      </w:r>
    </w:p>
    <w:p>
      <w:pPr>
        <w:pStyle w:val="ListBullet"/>
        <w:numPr>
          <w:ilvl w:val="0"/>
          <w:numId w:val="42"/>
        </w:numPr>
      </w:pPr>
      <w:r>
        <w:t>Run run_windows.bat or bash run.sh. The server binds to 127.0.0.1:8000 with one worker. Open http://127.0.0.1:8000 in a browser, not the HTML file directly.</w:t>
      </w:r>
    </w:p>
    <w:p>
      <w:pPr>
        <w:pStyle w:val="ListBullet"/>
        <w:numPr>
          <w:ilvl w:val="0"/>
          <w:numId w:val="42"/>
        </w:numPr>
      </w:pPr>
      <w:r>
        <w:t>Select Load model &amp; tokenize. The first load downloads the base SmolLM2-135M checkpoint if it is not cached. The toy lessons need no weights, but still require the local web server dependencies.</w:t>
      </w:r>
    </w:p>
    <w:p>
      <w:r>
        <w:t>The base checkpoint completes text; it is not the Instruct variant. No chat template or BOS is silently added: the app explicitly uses add_special_tokens=False. Individual decoded token pieces can be misleading for byte-level characters, so complete generated sequences are decoded together.</w:t>
      </w:r>
      <w:r>
        <w:t xml:space="preserve"> </w:t>
      </w:r>
      <w:hyperlink r:id="rId11">
        <w:r>
          <w:rPr>
            <w:color w:val="215E96"/>
            <w:u w:val="single"/>
          </w:rPr>
          <w:t>[2]</w:t>
        </w:r>
      </w:hyperlink>
    </w:p>
    <w:p>
      <w:pPr>
        <w:pStyle w:val="Heading2"/>
      </w:pPr>
      <w:r>
        <w:t>Reproducibility and rollback</w:t>
      </w:r>
    </w:p>
    <w:p>
      <w:r>
        <w:t>Exports record requested/resolved checkpoint revision, package versions, dtype, backend, config and tokenizer hashes, source hashes, prompt, settings and run identity. Use LLM_LAB_REVISION with the resolved commit for a repeatable download; main can move. LLM_LAB_OFFLINE=1 requires already available files. A local checkpoint path may not have a repository revision.</w:t>
      </w:r>
    </w:p>
    <w:p>
      <w:r>
        <w:t>Keep the extracted original backups and your old project folder. To roll back, stop the new server and launch your previous project in its previous environment. The new API is intentionally not backward-compatible. The package does not modify model weights or migrate the old Jacobian cache.</w:t>
      </w:r>
    </w:p>
    <w:p>
      <w:pPr>
        <w:pStyle w:val="Heading1"/>
      </w:pPr>
      <w:r>
        <w:t>2. Audit: corrections supported by the source</w:t>
      </w:r>
    </w:p>
    <w:p>
      <w:pPr>
        <w:pStyle w:val="Heading2"/>
      </w:pPr>
      <w:r>
        <w:t>Confirmed implementation issues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2950"/>
        <w:gridCol w:w="6410"/>
      </w:tblGrid>
      <w:tr>
        <w:trPr>
          <w:cantSplit/>
          <w:tblHeader/>
        </w:trPr>
        <w:tc>
          <w:tcPr>
            <w:tcW w:type="dxa" w:w="2950"/>
            <w:shd w:fill="E8EEF5"/>
          </w:tcPr>
          <w:p>
            <w:pPr>
              <w:spacing w:after="60" w:line="259" w:lineRule="auto"/>
            </w:pPr>
            <w:r>
              <w:rPr>
                <w:b/>
                <w:sz w:val="20"/>
              </w:rPr>
              <w:t>Uploaded behavior</w:t>
            </w:r>
          </w:p>
        </w:tc>
        <w:tc>
          <w:tcPr>
            <w:tcW w:type="dxa" w:w="6410"/>
            <w:shd w:fill="E8EEF5"/>
          </w:tcPr>
          <w:p>
            <w:pPr>
              <w:spacing w:after="60" w:line="259" w:lineRule="auto"/>
            </w:pPr>
            <w:r>
              <w:rPr>
                <w:b/>
                <w:sz w:val="20"/>
              </w:rPr>
              <w:t>Change and reason</w:t>
            </w:r>
          </w:p>
        </w:tc>
      </w:tr>
      <w:tr>
        <w:trPr>
          <w:cantSplit/>
        </w:trPr>
        <w:tc>
          <w:tcPr>
            <w:tcW w:type="dxa" w:w="2950"/>
          </w:tcPr>
          <w:p>
            <w:pPr>
              <w:spacing w:after="60" w:line="259" w:lineRule="auto"/>
            </w:pPr>
            <w:r>
              <w:rPr>
                <w:b w:val="0"/>
                <w:sz w:val="20"/>
              </w:rPr>
              <w:t>Logits rounded to 3 decimals before transfer</w:t>
            </w:r>
          </w:p>
        </w:tc>
        <w:tc>
          <w:tcPr>
            <w:tcW w:type="dxa" w:w="6410"/>
          </w:tcPr>
          <w:p>
            <w:pPr>
              <w:spacing w:after="60" w:line="259" w:lineRule="auto"/>
            </w:pPr>
            <w:r>
              <w:rPr>
                <w:b w:val="0"/>
                <w:sz w:val="20"/>
              </w:rPr>
              <w:t>Return the full float32 values. Browser sampling uses unrounded scores; rounding is display-only.</w:t>
            </w:r>
          </w:p>
        </w:tc>
      </w:tr>
      <w:tr>
        <w:trPr>
          <w:cantSplit/>
        </w:trPr>
        <w:tc>
          <w:tcPr>
            <w:tcW w:type="dxa" w:w="2950"/>
          </w:tcPr>
          <w:p>
            <w:pPr>
              <w:spacing w:after="60" w:line="259" w:lineRule="auto"/>
            </w:pPr>
            <w:r>
              <w:rPr>
                <w:b w:val="0"/>
                <w:sz w:val="20"/>
              </w:rPr>
              <w:t>Attention serialized to 4 decimals; long inputs capped silently</w:t>
            </w:r>
          </w:p>
        </w:tc>
        <w:tc>
          <w:tcPr>
            <w:tcW w:type="dxa" w:w="6410"/>
          </w:tcPr>
          <w:p>
            <w:pPr>
              <w:spacing w:after="60" w:line="259" w:lineRule="auto"/>
            </w:pPr>
            <w:r>
              <w:rPr>
                <w:b w:val="0"/>
                <w:sz w:val="20"/>
              </w:rPr>
              <w:t>Preserve actual weights and reject excess input explicitly. A shorter hidden prompt must not masquerade as the entered prompt.</w:t>
            </w:r>
          </w:p>
        </w:tc>
      </w:tr>
      <w:tr>
        <w:trPr>
          <w:cantSplit/>
        </w:trPr>
        <w:tc>
          <w:tcPr>
            <w:tcW w:type="dxa" w:w="2950"/>
          </w:tcPr>
          <w:p>
            <w:pPr>
              <w:spacing w:after="60" w:line="259" w:lineRule="auto"/>
            </w:pPr>
            <w:r>
              <w:rPr>
                <w:b w:val="0"/>
                <w:sz w:val="20"/>
              </w:rPr>
              <w:t>Each seeded run resets the same global RNG</w:t>
            </w:r>
          </w:p>
        </w:tc>
        <w:tc>
          <w:tcPr>
            <w:tcW w:type="dxa" w:w="6410"/>
          </w:tcPr>
          <w:p>
            <w:pPr>
              <w:spacing w:after="60" w:line="259" w:lineRule="auto"/>
            </w:pPr>
            <w:r>
              <w:rPr>
                <w:b w:val="0"/>
                <w:sz w:val="20"/>
              </w:rPr>
              <w:t>Use a local generator and base_seed + run_index. Requests replay the same set of streams without forcing every run to replay one stream.</w:t>
            </w:r>
          </w:p>
        </w:tc>
      </w:tr>
      <w:tr>
        <w:trPr>
          <w:cantSplit/>
        </w:trPr>
        <w:tc>
          <w:tcPr>
            <w:tcW w:type="dxa" w:w="2950"/>
          </w:tcPr>
          <w:p>
            <w:pPr>
              <w:spacing w:after="60" w:line="259" w:lineRule="auto"/>
            </w:pPr>
            <w:r>
              <w:rPr>
                <w:b w:val="0"/>
                <w:sz w:val="20"/>
              </w:rPr>
              <w:t>Shared diagnostic hooks without request serialization</w:t>
            </w:r>
          </w:p>
        </w:tc>
        <w:tc>
          <w:tcPr>
            <w:tcW w:type="dxa" w:w="6410"/>
          </w:tcPr>
          <w:p>
            <w:pPr>
              <w:spacing w:after="60" w:line="259" w:lineRule="auto"/>
            </w:pPr>
            <w:r>
              <w:rPr>
                <w:b w:val="0"/>
                <w:sz w:val="20"/>
              </w:rPr>
              <w:t>Protect model operations with one lock; remove temporary hooks in finally blocks to prevent request contamination.</w:t>
            </w:r>
          </w:p>
        </w:tc>
      </w:tr>
      <w:tr>
        <w:trPr>
          <w:cantSplit/>
        </w:trPr>
        <w:tc>
          <w:tcPr>
            <w:tcW w:type="dxa" w:w="2950"/>
          </w:tcPr>
          <w:p>
            <w:pPr>
              <w:spacing w:after="60" w:line="259" w:lineRule="auto"/>
            </w:pPr>
            <w:r>
              <w:rPr>
                <w:b w:val="0"/>
                <w:sz w:val="20"/>
              </w:rPr>
              <w:t>Legacy cache loaded with weights_only=False</w:t>
            </w:r>
          </w:p>
        </w:tc>
        <w:tc>
          <w:tcPr>
            <w:tcW w:type="dxa" w:w="6410"/>
          </w:tcPr>
          <w:p>
            <w:pPr>
              <w:spacing w:after="60" w:line="259" w:lineRule="auto"/>
            </w:pPr>
            <w:r>
              <w:rPr>
                <w:b w:val="0"/>
                <w:sz w:val="20"/>
              </w:rPr>
              <w:t>Remove the legacy pickle loader and old averaged-Jacobian readout. The replacement probe is fitted in memory from visible examples.</w:t>
            </w:r>
          </w:p>
        </w:tc>
      </w:tr>
    </w:tbl>
    <w:p>
      <w:pPr>
        <w:pStyle w:val="Heading2"/>
      </w:pPr>
      <w:r>
        <w:t>A concern that was not confirmed</w:t>
      </w:r>
    </w:p>
    <w:p>
      <w:r>
        <w:t>The uploaded backend already handled hidden_states[-1] as final-normalized and did not normalize that vector twice. Its separate pre-normalization capture for the old J-lens was also deliberate. The revision fixes the mixed stage labeling: all raw block outputs, including raw block 30, now appear separately from the final RMSNorm row. Do not describe this as repairing a demonstrated double-normalization bug.</w:t>
      </w:r>
    </w:p>
    <w:p>
      <w:pPr>
        <w:pStyle w:val="Heading2"/>
      </w:pPr>
      <w:r>
        <w:t>Interpretation and presentation corrections</w:t>
      </w:r>
    </w:p>
    <w:p>
      <w:r>
        <w:t>The interface now distinguishes T=1 model probability from temperature-adjusted sampling probability; the old generation trace could encourage conflating them. Position labels and vocabulary IDs are separate. The layer view no longer treats a changing norm as “more knowledge,” or an earlier readout’s failure as proof that information is absent.</w:t>
      </w:r>
    </w:p>
    <w:p>
      <w:r>
        <w:t>Attention maxima are labeled a cellwise envelope, not a normalized row. The unsupported “4× noise / 5× real” threshold is removed. First-column and diagonal weights are not automatically dismissed as irrelevant plumbing. Head removal is defined at the projected head-output stage; it does not remove a semantic concept or isolate a sink.</w:t>
      </w:r>
    </w:p>
    <w:p>
      <w:r>
        <w:t>Finally, matching the final-stage J-lens to the model is only an endpoint sanity check. It does not validate the earlier averaged-Jacobian maps. The replacement separates a properly anchored local derivative from a separately trained and held-out-evaluated affine state probe.</w:t>
      </w:r>
    </w:p>
    <w:p>
      <w:pPr>
        <w:pStyle w:val="Heading1"/>
      </w:pPr>
      <w:r>
        <w:t>3. Architecture and resource accounting</w:t>
      </w:r>
    </w:p>
    <w:p>
      <w:r>
        <w:t>The official checkpoint configuration specifies the geometry below. Runtime metadata reports what is actually loaded; custom Llama-family checkpoints may differ. The lab intentionally casts to CPU float32, although the checkpoint configuration names bfloat16.</w:t>
      </w:r>
      <w:r>
        <w:t xml:space="preserve"> </w:t>
      </w:r>
      <w:hyperlink r:id="rId12">
        <w:r>
          <w:rPr>
            <w:color w:val="215E96"/>
            <w:u w:val="single"/>
          </w:rPr>
          <w:t>[1]</w:t>
        </w:r>
      </w:hyperlink>
      <w:r>
        <w:t xml:space="preserve"> </w:t>
      </w:r>
      <w:hyperlink r:id="rId13">
        <w:r>
          <w:rPr>
            <w:color w:val="215E96"/>
            <w:u w:val="single"/>
          </w:rPr>
          <w:t>[3]</w:t>
        </w:r>
      </w:hyperlink>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4680"/>
        <w:gridCol w:w="4680"/>
      </w:tblGrid>
      <w:tr>
        <w:trPr>
          <w:cantSplit/>
          <w:tblHeader/>
        </w:trPr>
        <w:tc>
          <w:tcPr>
            <w:tcW w:type="dxa" w:w="4680"/>
            <w:shd w:fill="E8EEF5"/>
          </w:tcPr>
          <w:p>
            <w:pPr>
              <w:spacing w:after="60" w:line="259" w:lineRule="auto"/>
            </w:pPr>
            <w:r>
              <w:rPr>
                <w:b/>
                <w:sz w:val="20"/>
              </w:rPr>
              <w:t>Quantity</w:t>
            </w:r>
          </w:p>
        </w:tc>
        <w:tc>
          <w:tcPr>
            <w:tcW w:type="dxa" w:w="4680"/>
            <w:shd w:fill="E8EEF5"/>
          </w:tcPr>
          <w:p>
            <w:pPr>
              <w:spacing w:after="60" w:line="259" w:lineRule="auto"/>
            </w:pPr>
            <w:r>
              <w:rPr>
                <w:b/>
                <w:sz w:val="20"/>
              </w:rPr>
              <w:t>SmolLM2-135M</w:t>
            </w:r>
          </w:p>
        </w:tc>
      </w:tr>
      <w:tr>
        <w:trPr>
          <w:cantSplit/>
        </w:trPr>
        <w:tc>
          <w:tcPr>
            <w:tcW w:type="dxa" w:w="4680"/>
          </w:tcPr>
          <w:p>
            <w:pPr>
              <w:spacing w:after="60" w:line="259" w:lineRule="auto"/>
            </w:pPr>
            <w:r>
              <w:rPr>
                <w:b w:val="0"/>
                <w:sz w:val="20"/>
              </w:rPr>
              <w:t>Decoder blocks / residual width</w:t>
            </w:r>
          </w:p>
        </w:tc>
        <w:tc>
          <w:tcPr>
            <w:tcW w:type="dxa" w:w="4680"/>
          </w:tcPr>
          <w:p>
            <w:pPr>
              <w:spacing w:after="60" w:line="259" w:lineRule="auto"/>
            </w:pPr>
            <w:r>
              <w:rPr>
                <w:b w:val="0"/>
                <w:sz w:val="20"/>
              </w:rPr>
              <w:t>30 / 576</w:t>
            </w:r>
          </w:p>
        </w:tc>
      </w:tr>
      <w:tr>
        <w:trPr>
          <w:cantSplit/>
        </w:trPr>
        <w:tc>
          <w:tcPr>
            <w:tcW w:type="dxa" w:w="4680"/>
          </w:tcPr>
          <w:p>
            <w:pPr>
              <w:spacing w:after="60" w:line="259" w:lineRule="auto"/>
            </w:pPr>
            <w:r>
              <w:rPr>
                <w:b w:val="0"/>
                <w:sz w:val="20"/>
              </w:rPr>
              <w:t>Vocabulary / configured positions</w:t>
            </w:r>
          </w:p>
        </w:tc>
        <w:tc>
          <w:tcPr>
            <w:tcW w:type="dxa" w:w="4680"/>
          </w:tcPr>
          <w:p>
            <w:pPr>
              <w:spacing w:after="60" w:line="259" w:lineRule="auto"/>
            </w:pPr>
            <w:r>
              <w:rPr>
                <w:b w:val="0"/>
                <w:sz w:val="20"/>
              </w:rPr>
              <w:t>49,152 / 8,192</w:t>
            </w:r>
          </w:p>
        </w:tc>
      </w:tr>
      <w:tr>
        <w:trPr>
          <w:cantSplit/>
        </w:trPr>
        <w:tc>
          <w:tcPr>
            <w:tcW w:type="dxa" w:w="4680"/>
          </w:tcPr>
          <w:p>
            <w:pPr>
              <w:spacing w:after="60" w:line="259" w:lineRule="auto"/>
            </w:pPr>
            <w:r>
              <w:rPr>
                <w:b w:val="0"/>
                <w:sz w:val="20"/>
              </w:rPr>
              <w:t>Query heads / KV heads / head dimension</w:t>
            </w:r>
          </w:p>
        </w:tc>
        <w:tc>
          <w:tcPr>
            <w:tcW w:type="dxa" w:w="4680"/>
          </w:tcPr>
          <w:p>
            <w:pPr>
              <w:spacing w:after="60" w:line="259" w:lineRule="auto"/>
            </w:pPr>
            <w:r>
              <w:rPr>
                <w:b w:val="0"/>
                <w:sz w:val="20"/>
              </w:rPr>
              <w:t>9 / 3 / 64</w:t>
            </w:r>
          </w:p>
        </w:tc>
      </w:tr>
      <w:tr>
        <w:trPr>
          <w:cantSplit/>
        </w:trPr>
        <w:tc>
          <w:tcPr>
            <w:tcW w:type="dxa" w:w="4680"/>
          </w:tcPr>
          <w:p>
            <w:pPr>
              <w:spacing w:after="60" w:line="259" w:lineRule="auto"/>
            </w:pPr>
            <w:r>
              <w:rPr>
                <w:b w:val="0"/>
                <w:sz w:val="20"/>
              </w:rPr>
              <w:t>MLP expansion / activation</w:t>
            </w:r>
          </w:p>
        </w:tc>
        <w:tc>
          <w:tcPr>
            <w:tcW w:type="dxa" w:w="4680"/>
          </w:tcPr>
          <w:p>
            <w:pPr>
              <w:spacing w:after="60" w:line="259" w:lineRule="auto"/>
            </w:pPr>
            <w:r>
              <w:rPr>
                <w:b w:val="0"/>
                <w:sz w:val="20"/>
              </w:rPr>
              <w:t>1,536 / SiLU gated MLP</w:t>
            </w:r>
          </w:p>
        </w:tc>
      </w:tr>
      <w:tr>
        <w:trPr>
          <w:cantSplit/>
        </w:trPr>
        <w:tc>
          <w:tcPr>
            <w:tcW w:type="dxa" w:w="4680"/>
          </w:tcPr>
          <w:p>
            <w:pPr>
              <w:spacing w:after="60" w:line="259" w:lineRule="auto"/>
            </w:pPr>
            <w:r>
              <w:rPr>
                <w:b w:val="0"/>
                <w:sz w:val="20"/>
              </w:rPr>
              <w:t>Positional scheme</w:t>
            </w:r>
          </w:p>
        </w:tc>
        <w:tc>
          <w:tcPr>
            <w:tcW w:type="dxa" w:w="4680"/>
          </w:tcPr>
          <w:p>
            <w:pPr>
              <w:spacing w:after="60" w:line="259" w:lineRule="auto"/>
            </w:pPr>
            <w:r>
              <w:rPr>
                <w:b w:val="0"/>
                <w:sz w:val="20"/>
              </w:rPr>
              <w:t>RoPE; theta = 100,000</w:t>
            </w:r>
          </w:p>
        </w:tc>
      </w:tr>
      <w:tr>
        <w:trPr>
          <w:cantSplit/>
        </w:trPr>
        <w:tc>
          <w:tcPr>
            <w:tcW w:type="dxa" w:w="4680"/>
          </w:tcPr>
          <w:p>
            <w:pPr>
              <w:spacing w:after="60" w:line="259" w:lineRule="auto"/>
            </w:pPr>
            <w:r>
              <w:rPr>
                <w:b w:val="0"/>
                <w:sz w:val="20"/>
              </w:rPr>
              <w:t>RMSNorm epsilon</w:t>
            </w:r>
          </w:p>
        </w:tc>
        <w:tc>
          <w:tcPr>
            <w:tcW w:type="dxa" w:w="4680"/>
          </w:tcPr>
          <w:p>
            <w:pPr>
              <w:spacing w:after="60" w:line="259" w:lineRule="auto"/>
            </w:pPr>
            <w:r>
              <w:rPr>
                <w:b w:val="0"/>
                <w:sz w:val="20"/>
              </w:rPr>
              <w:t>0.00001</w:t>
            </w:r>
          </w:p>
        </w:tc>
      </w:tr>
      <w:tr>
        <w:trPr>
          <w:cantSplit/>
        </w:trPr>
        <w:tc>
          <w:tcPr>
            <w:tcW w:type="dxa" w:w="4680"/>
          </w:tcPr>
          <w:p>
            <w:pPr>
              <w:spacing w:after="60" w:line="259" w:lineRule="auto"/>
            </w:pPr>
            <w:r>
              <w:rPr>
                <w:b w:val="0"/>
                <w:sz w:val="20"/>
              </w:rPr>
              <w:t>Embedding and output weights</w:t>
            </w:r>
          </w:p>
        </w:tc>
        <w:tc>
          <w:tcPr>
            <w:tcW w:type="dxa" w:w="4680"/>
          </w:tcPr>
          <w:p>
            <w:pPr>
              <w:spacing w:after="60" w:line="259" w:lineRule="auto"/>
            </w:pPr>
            <w:r>
              <w:rPr>
                <w:b w:val="0"/>
                <w:sz w:val="20"/>
              </w:rPr>
              <w:t>Tied, verified by storage identity at runtime</w:t>
            </w:r>
          </w:p>
        </w:tc>
      </w:tr>
    </w:tbl>
    <w:p>
      <w:pPr>
        <w:pStyle w:val="Heading2"/>
      </w:pPr>
      <w:r>
        <w:t>Independent parameter-count calculation</w:t>
      </w:r>
    </w:p>
    <w:p>
      <w:pPr>
        <w:pStyle w:val="CodeBlock"/>
      </w:pPr>
      <w:r>
        <w:rPr>
          <w:rFonts w:ascii="DejaVu Sans Mono" w:hAnsi="DejaVu Sans Mono" w:cs="DejaVu Sans Mono" w:eastAsia="DejaVu Sans Mono"/>
          <w:sz w:val="18"/>
        </w:rPr>
        <w:t>Embedding: 49,152 × 576 = 28,311,552</w:t>
        <w:br/>
        <w:t>Per block attention matrices = 884,736</w:t>
        <w:br/>
        <w:t>Per block MLP matrices = 3 × 576 × 1,536 = 2,654,208</w:t>
        <w:br/>
        <w:t>Per block two RMSNorm scales = 2 × 576 = 1,152</w:t>
        <w:br/>
        <w:t>Final RMSNorm scale = 576</w:t>
        <w:br/>
        <w:t>Total = 28,311,552 + 30 × (884,736 + 2,654,208 + 1,152)</w:t>
        <w:br/>
        <w:t xml:space="preserve">        + 576 = 134,515,008 parameters</w:t>
      </w:r>
    </w:p>
    <w:p>
      <w:r>
        <w:t>Because the output matrix is tied, it is not counted a second time. The MLP matrices total 79,626,240 parameters, approximately 59.2% of the model. This is arithmetic about storage, not a division of cognitive responsibility. The runtime reports the actual parameter count as a cross-check.</w:t>
      </w:r>
    </w:p>
    <w:p>
      <w:pPr>
        <w:pStyle w:val="Heading2"/>
      </w:pPr>
      <w:r>
        <w:t>Cache and workload are different quantities</w:t>
      </w:r>
    </w:p>
    <w:p>
      <w:pPr>
        <w:pStyle w:val="CodeBlock"/>
      </w:pPr>
      <w:r>
        <w:rPr>
          <w:rFonts w:ascii="DejaVu Sans Mono" w:hAnsi="DejaVu Sans Mono" w:cs="DejaVu Sans Mono" w:eastAsia="DejaVu Sans Mono"/>
          <w:sz w:val="18"/>
        </w:rPr>
        <w:t>KV bytes per token, batch size 1</w:t>
        <w:br/>
        <w:t>= 30 layers × 3 KV heads × 64 values × 2 (K and V) × 4 bytes</w:t>
        <w:br/>
        <w:t>= 46,080 bytes = 45 KiB per token in float32</w:t>
      </w:r>
    </w:p>
    <w:p>
      <w:r>
        <w:t>That counts the cache tensors, not all inference memory, allocator overhead or temporary activations. GQA shares K/V heads within groups of query heads, reducing cache storage relative to one KV head per query head. It also changes the architecture; its effect is not automatically negligible on a short prompt.</w:t>
      </w:r>
      <w:r>
        <w:t xml:space="preserve"> </w:t>
      </w:r>
      <w:hyperlink r:id="rId14">
        <w:r>
          <w:rPr>
            <w:color w:val="215E96"/>
            <w:u w:val="single"/>
          </w:rPr>
          <w:t>[6]</w:t>
        </w:r>
      </w:hyperlink>
    </w:p>
    <w:p>
      <w:r>
        <w:t>The lab applies smaller workload limits: 256 tokens for ordinary operations, 64 for attention-heavy experiments and 16 for full verification. These are deliberate tool limits, not evidence that the model only supports short contexts. Generation also checks the model context budget.</w:t>
      </w:r>
    </w:p>
    <w:p>
      <w:pPr>
        <w:pStyle w:val="Heading1"/>
      </w:pPr>
      <w:r>
        <w:t>4. Tokens, probabilities, and generation</w:t>
      </w:r>
    </w:p>
    <w:p>
      <w:pPr>
        <w:pStyle w:val="Heading2"/>
      </w:pPr>
      <w:r>
        <w:t>Lesson objective</w:t>
      </w:r>
    </w:p>
    <w:p>
      <w:r>
        <w:t>Be able to explain the difference between a token ID, a logit, a model probability, a sampling probability, and the token actually chosen. The first lesson exposes whitespace in quoted strings and retains position numbers even when a vocabulary ID repeats.</w:t>
      </w:r>
    </w:p>
    <w:p>
      <w:pPr>
        <w:pStyle w:val="CodeBlock"/>
      </w:pPr>
      <w:r>
        <w:rPr>
          <w:rFonts w:ascii="DejaVu Sans Mono" w:hAnsi="DejaVu Sans Mono" w:cs="DejaVu Sans Mono" w:eastAsia="DejaVu Sans Mono"/>
          <w:sz w:val="18"/>
        </w:rPr>
        <w:t>For T &gt; 0: p(i) = exp((z(i) − max(z))/T) / sum(exp((z − max(z))/T))</w:t>
        <w:br/>
        <w:t>For T = 0: take the first maximum logit; do not divide by zero.</w:t>
      </w:r>
    </w:p>
    <w:p>
      <w:r>
        <w:t>Positive temperature preserves logit ordering but changes the distribution. The T=1 column is the model’s distribution; the slider controls the sampling column. The normalization includes all 49,152 vocabulary entries. The top-20 display and grey tail are visual summaries, not a smaller sampling vocabulary.</w:t>
      </w:r>
    </w:p>
    <w:p>
      <w:r>
        <w:t>A uniform vocabulary distribution assigns 100/49,152 = 0.0020345052% to each token. Ten displayed tokens would jointly occupy only 0.0203450521% under that hypothetical distribution. It is easy to misread a tiny bar or a rounded zero; the rank lookup shows more precise values.</w:t>
      </w:r>
    </w:p>
    <w:p>
      <w:pPr>
        <w:pStyle w:val="Heading2"/>
      </w:pPr>
      <w:r>
        <w:t>Hand-check a temperature claim</w:t>
      </w:r>
    </w:p>
    <w:p>
      <w:r>
        <w:t>For two logits 10.25 and 8.50 at T=0.3, the probability ratio is exp((10.25−8.50)/0.3), approximately 341.495. This ratio does not determine either absolute probability without the rest of the vocabulary. It does explain why low-temperature odds can be extreme even when the T=1 distribution is much less concentrated.</w:t>
      </w:r>
    </w:p>
    <w:p>
      <w:pPr>
        <w:pStyle w:val="Heading2"/>
      </w:pPr>
      <w:r>
        <w:t>The autoregressive loop</w:t>
      </w:r>
    </w:p>
    <w:p>
      <w:r>
        <w:t>Generation appends a selected token ID, then computes a new distribution for the resulting prefix. The same prefix has the same logits under deterministic settings. Once two runs select different tokens, their subsequent distributions need not match. A partial token does not commit the model to a particular completed word.</w:t>
      </w:r>
    </w:p>
    <w:p>
      <w:r>
        <w:t>With caching off, the lab reprocesses each complete prefix. With caching on, it processes the prompt, then one new position per step while retaining prior keys and values. It displays processed positions to make the distinction visible. Cached/uncached equivalence is a numerical test, not a promise of bitwise identity.</w:t>
      </w:r>
      <w:r>
        <w:t xml:space="preserve"> </w:t>
      </w:r>
      <w:hyperlink r:id="rId15">
        <w:r>
          <w:rPr>
            <w:color w:val="215E96"/>
            <w:u w:val="single"/>
          </w:rPr>
          <w:t>[13]</w:t>
        </w:r>
      </w:hyperlink>
    </w:p>
    <w:p>
      <w:r>
        <w:t>Runs use base_seed + run_index. Repeating a request replays its streams in the same environment; seeds do not guarantee identical results across platforms or library releases. The number-line exercise uses independent browser randomness, clearly labeled as unseeded.</w:t>
      </w:r>
      <w:r>
        <w:t xml:space="preserve"> </w:t>
      </w:r>
      <w:hyperlink r:id="rId16">
        <w:r>
          <w:rPr>
            <w:color w:val="215E96"/>
            <w:u w:val="single"/>
          </w:rPr>
          <w:t>[14]</w:t>
        </w:r>
      </w:hyperlink>
    </w:p>
    <w:p>
      <w:pPr>
        <w:pStyle w:val="Heading2"/>
      </w:pPr>
      <w:r>
        <w:t>Explain it back</w:t>
      </w:r>
    </w:p>
    <w:p>
      <w:r>
        <w:t>Why can a second-ranked token be selected? Why does moving the temperature slider not rerun attention? What stays fixed during inference, what is recomputed, and what does the cache retain? Why is a high token probability not evidence that the token completes a true statement?</w:t>
      </w:r>
    </w:p>
    <w:p>
      <w:pPr>
        <w:pStyle w:val="Heading1"/>
      </w:pPr>
      <w:r>
        <w:t>5. Follow one block coordinate by coordinate</w:t>
      </w:r>
    </w:p>
    <w:p>
      <w:r>
        <w:t>The new inspector reconstructs one actual block and compares it with the eager model output. You choose block, query head, query position and output token ID. Full vectors are expandable; the display does not hide their contents behind a norm alone.</w:t>
      </w:r>
    </w:p>
    <w:p>
      <w:pPr>
        <w:pStyle w:val="Heading2"/>
      </w:pPr>
      <w:r>
        <w:t>What you can now inspect</w:t>
      </w:r>
    </w:p>
    <w:p>
      <w:pPr>
        <w:pStyle w:val="ListBullet"/>
        <w:numPr>
          <w:ilvl w:val="0"/>
          <w:numId w:val="42"/>
        </w:numPr>
      </w:pPr>
      <w:r>
        <w:t>Incoming residual vector, first RMSNorm, a query-coordinate weight row, every input × weight product, and the resulting projected coordinate. Heads use the full normalized input through learned projections.</w:t>
      </w:r>
    </w:p>
    <w:p>
      <w:pPr>
        <w:pStyle w:val="ListBullet"/>
        <w:numPr>
          <w:ilvl w:val="0"/>
          <w:numId w:val="42"/>
        </w:numPr>
      </w:pPr>
      <w:r>
        <w:t>Queries and keys before/after RoPE, cosine/sine factors, the shared KV-head mapping, scaled dot products, the causal mask, normalized attention weights and multiples of the uniform reference.</w:t>
      </w:r>
    </w:p>
    <w:p>
      <w:pPr>
        <w:pStyle w:val="ListBullet"/>
        <w:numPr>
          <w:ilvl w:val="0"/>
          <w:numId w:val="42"/>
        </w:numPr>
      </w:pPr>
      <w:r>
        <w:t>Value vectors, each weighted value, their sum, and each key position’s contribution after that head’s output-projection slice. These contributions can reinforce or cancel; their norms do not simply add.</w:t>
      </w:r>
    </w:p>
    <w:p>
      <w:pPr>
        <w:pStyle w:val="ListBullet"/>
        <w:numPr>
          <w:ilvl w:val="0"/>
          <w:numId w:val="42"/>
        </w:numPr>
      </w:pPr>
      <w:r>
        <w:t>Attention write and residual addition, second RMSNorm, MLP gate/up branches, SiLU, elementwise product, down-projection, MLP write and the outgoing residual vector.</w:t>
      </w:r>
    </w:p>
    <w:p>
      <w:pPr>
        <w:pStyle w:val="ListBullet"/>
        <w:numPr>
          <w:ilvl w:val="0"/>
          <w:numId w:val="42"/>
        </w:numPr>
      </w:pPr>
      <w:r>
        <w:t>Final raw state, final normalized state, selected output weight row, coordinatewise dot-product terms, cosine, logit and full-vocabulary probability.</w:t>
      </w:r>
    </w:p>
    <w:p>
      <w:r>
        <w:t>Scaled dot-product attention comes from the original transformer formulation; this model additionally uses RoPE, grouped-query attention, RMSNorm and a gated MLP. Do not present the original paper’s exact block as this checkpoint’s complete architecture.</w:t>
      </w:r>
      <w:r>
        <w:t xml:space="preserve"> </w:t>
      </w:r>
      <w:hyperlink r:id="rId17">
        <w:r>
          <w:rPr>
            <w:color w:val="215E96"/>
            <w:u w:val="single"/>
          </w:rPr>
          <w:t>[4]</w:t>
        </w:r>
      </w:hyperlink>
      <w:r>
        <w:t xml:space="preserve"> </w:t>
      </w:r>
      <w:hyperlink r:id="rId18">
        <w:r>
          <w:rPr>
            <w:color w:val="215E96"/>
            <w:u w:val="single"/>
          </w:rPr>
          <w:t>[5]</w:t>
        </w:r>
      </w:hyperlink>
      <w:r>
        <w:t xml:space="preserve"> </w:t>
      </w:r>
      <w:hyperlink r:id="rId14">
        <w:r>
          <w:rPr>
            <w:color w:val="215E96"/>
            <w:u w:val="single"/>
          </w:rPr>
          <w:t>[6]</w:t>
        </w:r>
      </w:hyperlink>
    </w:p>
    <w:p>
      <w:pPr>
        <w:pStyle w:val="Heading2"/>
      </w:pPr>
      <w:r>
        <w:t>A small example that can be calculated by hand</w:t>
      </w:r>
    </w:p>
    <w:p>
      <w:pPr>
        <w:pStyle w:val="CodeBlock"/>
      </w:pPr>
      <w:r>
        <w:rPr>
          <w:rFonts w:ascii="DejaVu Sans Mono" w:hAnsi="DejaVu Sans Mono" w:cs="DejaVu Sans Mono" w:eastAsia="DejaVu Sans Mono"/>
          <w:sz w:val="18"/>
        </w:rPr>
        <w:t>Q = K = [[1,0], [0,1], [1,1]]</w:t>
        <w:br/>
        <w:t>V = [[2,0], [0,4], [2,2]]</w:t>
        <w:br/>
        <w:t>Score matrix = Q × transpose(K) / sqrt(2)</w:t>
        <w:br/>
        <w:t>Mask keys to the right of each query; softmax only allowed keys.</w:t>
        <w:br/>
        <w:t>Output = attention_weights × V</w:t>
      </w:r>
    </w:p>
    <w:p>
      <w:r>
        <w:t>These are invented toy values, not compressed SmolLM2 activations. At query position 0, only key 0 is visible, so its attention weight is exactly 1 and its output is [2,0]. At later positions, multiply every allowed value coordinate by its weight, then sum. No RoPE is included in this toy.</w:t>
      </w:r>
    </w:p>
    <w:p>
      <w:pPr>
        <w:pStyle w:val="Heading2"/>
      </w:pPr>
      <w:r>
        <w:t>Important qualifications</w:t>
      </w:r>
    </w:p>
    <w:p>
      <w:r>
        <w:t>Residual addition retains the input as an algebraic term, but another term can cancel it. RMSNorm includes learned coordinate scaling, so it is not simply cosmetic rescaling. SiLU is not a gate constrained to [0,1]. The unembedding score is a dot product: both vector magnitudes and their angle matter. None of these observations turns a coordinate, norm or head into a uniquely named concept.</w:t>
      </w:r>
    </w:p>
    <w:p>
      <w:pPr>
        <w:pStyle w:val="Heading1"/>
      </w:pPr>
      <w:r>
        <w:t>6. Attention patterns versus causal evidence</w:t>
      </w:r>
    </w:p>
    <w:p>
      <w:pPr>
        <w:pStyle w:val="Heading2"/>
      </w:pPr>
      <w:r>
        <w:t>Read the axes and scales first</w:t>
      </w:r>
    </w:p>
    <w:p>
      <w:r>
        <w:t>Rows are queries; columns are key/value positions. Later-layer positions hold contextual representations rather than isolated original-word meanings. Individual-head and mean-head raw rows sum to one. A cellwise maximum may combine different heads and does not form a probability distribution.</w:t>
      </w:r>
    </w:p>
    <w:p>
      <w:r>
        <w:t>For row i, the causal uniform reference is 1/(i+1). Dividing a displayed weight by that reference changes its units, not the model. There is no universal ratio separating “noise” from meaningful attention. The grid reports its current colour range and lets you inspect a cell’s weight, reference ratio and row sum.</w:t>
      </w:r>
    </w:p>
    <w:p>
      <w:r>
        <w:t>The new bottom-row plot compares position 0, self, and the largest other weight across layers. It uses a logarithmic vertical scale and a separate legend, with exact values in a table. Zero values become plot gaps; with one token, position 0 and self coincide. “Largest other” is a positional description, not a semantic-importance judgment.</w:t>
      </w:r>
    </w:p>
    <w:p>
      <w:pPr>
        <w:pStyle w:val="Heading2"/>
      </w:pPr>
      <w:r>
        <w:t>Two real interventions, explicitly defined</w:t>
      </w:r>
    </w:p>
    <w:p>
      <w:r>
        <w:t>Zero-head mode zeros a head’s weighted-value output immediately before the attention output projection. Uniform-attention mode replaces its weighted-value sum with the arithmetic mean of causally allowed values. Either can affect only the last query position or all prompt positions at the selected block. Model parameters remain unchanged.</w:t>
      </w:r>
    </w:p>
    <w:p>
      <w:r>
        <w:t>For every single head and the joint all-head intervention, the app reports target probability, percentage-point change, target rank, logit difference against a contrast token, top-token change, total variation, Jensen–Shannon divergence and KL divergence over the full T=1 vocabulary distribution. A no-op hook is a control.</w:t>
      </w:r>
    </w:p>
    <w:p>
      <w:pPr>
        <w:pStyle w:val="CodeBlock"/>
      </w:pPr>
      <w:r>
        <w:rPr>
          <w:rFonts w:ascii="DejaVu Sans Mono" w:hAnsi="DejaVu Sans Mono" w:cs="DejaVu Sans Mono" w:eastAsia="DejaVu Sans Mono"/>
          <w:sz w:val="18"/>
        </w:rPr>
        <w:t>TV(p,q) = 0.5 × sum(abs(p − q))</w:t>
        <w:br/>
        <w:t>Δ target (percentage points) = 100 × (p_after − p_before)</w:t>
        <w:br/>
        <w:t>Δ margin = (z_target − z_contrast)_after − (z_target − z_contrast)_before</w:t>
      </w:r>
    </w:p>
    <w:p>
      <w:pPr>
        <w:pStyle w:val="Heading2"/>
      </w:pPr>
      <w:r>
        <w:t>What the research does and does not establish</w:t>
      </w:r>
    </w:p>
    <w:p>
      <w:r>
        <w:t>The attention/explanation literature motivates intervention and comparison, but several cited studies use classifier settings, not this decoder. In particular, Wiegreffe and Pinter’s uniform baseline is trained with uniform attention; this lab’s inference-time replacement is not a reproduction of that experiment.</w:t>
      </w:r>
      <w:r>
        <w:t xml:space="preserve"> </w:t>
      </w:r>
      <w:hyperlink r:id="rId19">
        <w:r>
          <w:rPr>
            <w:color w:val="215E96"/>
            <w:u w:val="single"/>
          </w:rPr>
          <w:t>[7]</w:t>
        </w:r>
      </w:hyperlink>
      <w:r>
        <w:t xml:space="preserve"> </w:t>
      </w:r>
      <w:hyperlink r:id="rId20">
        <w:r>
          <w:rPr>
            <w:color w:val="215E96"/>
            <w:u w:val="single"/>
          </w:rPr>
          <w:t>[8]</w:t>
        </w:r>
      </w:hyperlink>
      <w:r>
        <w:t xml:space="preserve"> </w:t>
      </w:r>
      <w:hyperlink r:id="rId21">
        <w:r>
          <w:rPr>
            <w:color w:val="215E96"/>
            <w:u w:val="single"/>
          </w:rPr>
          <w:t>[9]</w:t>
        </w:r>
      </w:hyperlink>
    </w:p>
    <w:p>
      <w:r>
        <w:t>Barbero et al. report a Gemma 7B 4,096-context RULER score of 82.57 falling to 0.00 after BOS removal. StreamingLLM reports perplexities 5158.07, 5.40 and 5.60 for its stated 0+1024, 4+1020 and four-prepended-newline 4+1020 cache variants on a roughly 65,000-token PG-19 book with Llama-2-13B. These are paper results, not new SmolLM2 measurements.</w:t>
      </w:r>
      <w:r>
        <w:t xml:space="preserve"> </w:t>
      </w:r>
      <w:hyperlink r:id="rId22">
        <w:r>
          <w:rPr>
            <w:color w:val="215E96"/>
            <w:u w:val="single"/>
          </w:rPr>
          <w:t>[10]</w:t>
        </w:r>
      </w:hyperlink>
      <w:r>
        <w:t xml:space="preserve"> </w:t>
      </w:r>
      <w:hyperlink r:id="rId23">
        <w:r>
          <w:rPr>
            <w:color w:val="215E96"/>
            <w:u w:val="single"/>
          </w:rPr>
          <w:t>[11]</w:t>
        </w:r>
      </w:hyperlink>
    </w:p>
    <w:p>
      <w:r>
        <w:t>Removing a head removes sink-related and content-related contributions together. Nonlinear interactions mean single-head effects need not add to the joint effect. Neither a bright cell nor a knockout uniquely proves what a head is generally “for.”</w:t>
      </w:r>
    </w:p>
    <w:p>
      <w:pPr>
        <w:pStyle w:val="Heading1"/>
      </w:pPr>
      <w:r>
        <w:t>7. Prompt experiments and how weights learn</w:t>
      </w:r>
    </w:p>
    <w:p>
      <w:pPr>
        <w:pStyle w:val="Heading2"/>
      </w:pPr>
      <w:r>
        <w:t>Controlled A/B comparison</w:t>
      </w:r>
    </w:p>
    <w:p>
      <w:r>
        <w:t>The new comparison lesson uses two prompts and one selected block/head. It exposes both tokenizations, separate attention axes, selected and leading candidate probabilities, logit changes, full-distribution TV/JS, and last-position residual norms/cosines across raw stages. Comparisons always use T=1, independent of the sampling slider.</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2600"/>
        <w:gridCol w:w="6760"/>
      </w:tblGrid>
      <w:tr>
        <w:trPr>
          <w:cantSplit/>
          <w:tblHeader/>
        </w:trPr>
        <w:tc>
          <w:tcPr>
            <w:tcW w:type="dxa" w:w="2600"/>
            <w:shd w:fill="E8EEF5"/>
          </w:tcPr>
          <w:p>
            <w:pPr>
              <w:spacing w:after="60" w:line="259" w:lineRule="auto"/>
            </w:pPr>
            <w:r>
              <w:rPr>
                <w:b/>
                <w:sz w:val="20"/>
              </w:rPr>
              <w:t>Experiment</w:t>
            </w:r>
          </w:p>
        </w:tc>
        <w:tc>
          <w:tcPr>
            <w:tcW w:type="dxa" w:w="6760"/>
            <w:shd w:fill="E8EEF5"/>
          </w:tcPr>
          <w:p>
            <w:pPr>
              <w:spacing w:after="60" w:line="259" w:lineRule="auto"/>
            </w:pPr>
            <w:r>
              <w:rPr>
                <w:b/>
                <w:sz w:val="20"/>
              </w:rPr>
              <w:t>Prediction and confound to record</w:t>
            </w:r>
          </w:p>
        </w:tc>
      </w:tr>
      <w:tr>
        <w:trPr>
          <w:cantSplit/>
        </w:trPr>
        <w:tc>
          <w:tcPr>
            <w:tcW w:type="dxa" w:w="2600"/>
          </w:tcPr>
          <w:p>
            <w:pPr>
              <w:spacing w:after="60" w:line="259" w:lineRule="auto"/>
            </w:pPr>
            <w:r>
              <w:rPr>
                <w:b w:val="0"/>
                <w:sz w:val="20"/>
              </w:rPr>
              <w:t>Country substitution</w:t>
            </w:r>
          </w:p>
        </w:tc>
        <w:tc>
          <w:tcPr>
            <w:tcW w:type="dxa" w:w="6760"/>
          </w:tcPr>
          <w:p>
            <w:pPr>
              <w:spacing w:after="60" w:line="259" w:lineRule="auto"/>
            </w:pPr>
            <w:r>
              <w:rPr>
                <w:b w:val="0"/>
                <w:sz w:val="20"/>
              </w:rPr>
              <w:t>Compare Japan and France in an otherwise identical sentence. Check whether token lengths and candidate IDs also change.</w:t>
            </w:r>
          </w:p>
        </w:tc>
      </w:tr>
      <w:tr>
        <w:trPr>
          <w:cantSplit/>
        </w:trPr>
        <w:tc>
          <w:tcPr>
            <w:tcW w:type="dxa" w:w="2600"/>
          </w:tcPr>
          <w:p>
            <w:pPr>
              <w:spacing w:after="60" w:line="259" w:lineRule="auto"/>
            </w:pPr>
            <w:r>
              <w:rPr>
                <w:b w:val="0"/>
                <w:sz w:val="20"/>
              </w:rPr>
              <w:t>Fictional context</w:t>
            </w:r>
          </w:p>
        </w:tc>
        <w:tc>
          <w:tcPr>
            <w:tcW w:type="dxa" w:w="6760"/>
          </w:tcPr>
          <w:p>
            <w:pPr>
              <w:spacing w:after="60" w:line="259" w:lineRule="auto"/>
            </w:pPr>
            <w:r>
              <w:rPr>
                <w:b w:val="0"/>
                <w:sz w:val="20"/>
              </w:rPr>
              <w:t>State that the capital is Osaka in a fictional world. Does added context alter the target/contrast margin? This is not a fact-checking test.</w:t>
            </w:r>
          </w:p>
        </w:tc>
      </w:tr>
      <w:tr>
        <w:trPr>
          <w:cantSplit/>
        </w:trPr>
        <w:tc>
          <w:tcPr>
            <w:tcW w:type="dxa" w:w="2600"/>
          </w:tcPr>
          <w:p>
            <w:pPr>
              <w:spacing w:after="60" w:line="259" w:lineRule="auto"/>
            </w:pPr>
            <w:r>
              <w:rPr>
                <w:b w:val="0"/>
                <w:sz w:val="20"/>
              </w:rPr>
              <w:t>Word order</w:t>
            </w:r>
          </w:p>
        </w:tc>
        <w:tc>
          <w:tcPr>
            <w:tcW w:type="dxa" w:w="6760"/>
          </w:tcPr>
          <w:p>
            <w:pPr>
              <w:spacing w:after="60" w:line="259" w:lineRule="auto"/>
            </w:pPr>
            <w:r>
              <w:rPr>
                <w:b w:val="0"/>
                <w:sz w:val="20"/>
              </w:rPr>
              <w:t>Swap subject and object. The same words need not produce the same token sequence or contextual states.</w:t>
            </w:r>
          </w:p>
        </w:tc>
      </w:tr>
      <w:tr>
        <w:trPr>
          <w:cantSplit/>
        </w:trPr>
        <w:tc>
          <w:tcPr>
            <w:tcW w:type="dxa" w:w="2600"/>
          </w:tcPr>
          <w:p>
            <w:pPr>
              <w:spacing w:after="60" w:line="259" w:lineRule="auto"/>
            </w:pPr>
            <w:r>
              <w:rPr>
                <w:b w:val="0"/>
                <w:sz w:val="20"/>
              </w:rPr>
              <w:t>Leading space</w:t>
            </w:r>
          </w:p>
        </w:tc>
        <w:tc>
          <w:tcPr>
            <w:tcW w:type="dxa" w:w="6760"/>
          </w:tcPr>
          <w:p>
            <w:pPr>
              <w:spacing w:after="60" w:line="259" w:lineRule="auto"/>
            </w:pPr>
            <w:r>
              <w:rPr>
                <w:b w:val="0"/>
                <w:sz w:val="20"/>
              </w:rPr>
              <w:t>Compare Paris with a leading-space version. Preserve the exact text; whitespace can alter segmentation.</w:t>
            </w:r>
          </w:p>
        </w:tc>
      </w:tr>
      <w:tr>
        <w:trPr>
          <w:cantSplit/>
        </w:trPr>
        <w:tc>
          <w:tcPr>
            <w:tcW w:type="dxa" w:w="2600"/>
          </w:tcPr>
          <w:p>
            <w:pPr>
              <w:spacing w:after="60" w:line="259" w:lineRule="auto"/>
            </w:pPr>
            <w:r>
              <w:rPr>
                <w:b w:val="0"/>
                <w:sz w:val="20"/>
              </w:rPr>
              <w:t>Distractor</w:t>
            </w:r>
          </w:p>
        </w:tc>
        <w:tc>
          <w:tcPr>
            <w:tcW w:type="dxa" w:w="6760"/>
          </w:tcPr>
          <w:p>
            <w:pPr>
              <w:spacing w:after="60" w:line="259" w:lineRule="auto"/>
            </w:pPr>
            <w:r>
              <w:rPr>
                <w:b w:val="0"/>
                <w:sz w:val="20"/>
              </w:rPr>
              <w:t>Prepend an unrelated sentence. Separate content, position and length effects before assigning a cause.</w:t>
            </w:r>
          </w:p>
        </w:tc>
      </w:tr>
    </w:tbl>
    <w:p>
      <w:pPr>
        <w:pStyle w:val="Heading2"/>
      </w:pPr>
      <w:r>
        <w:t>Teacher forcing: compute a loss without training</w:t>
      </w:r>
    </w:p>
    <w:p>
      <w:r>
        <w:t>The training-trace panel uses the actual prompt IDs. At position i, the target is the supplied token at i+1. The last position has no supplied next-token target and is excluded. The table reports target probability, negative natural log probability and the derivative with respect to that target logit.</w:t>
      </w:r>
    </w:p>
    <w:p>
      <w:pPr>
        <w:pStyle w:val="CodeBlock"/>
      </w:pPr>
      <w:r>
        <w:rPr>
          <w:rFonts w:ascii="DejaVu Sans Mono" w:hAnsi="DejaVu Sans Mono" w:cs="DejaVu Sans Mono" w:eastAsia="DejaVu Sans Mono"/>
          <w:sz w:val="18"/>
        </w:rPr>
        <w:t>Loss at one position = −ln p(target)</w:t>
        <w:br/>
        <w:t>Mean loss = sum(position losses) / number of targets</w:t>
        <w:br/>
        <w:t>Perplexity = exp(mean loss)</w:t>
        <w:br/>
        <w:t>Single-position derivative for target logit = p(target) − 1</w:t>
      </w:r>
    </w:p>
    <w:p>
      <w:r>
        <w:t>For a mean loss, divide each position’s derivative by the number of targets. These are teacher-forced measurements on supplied text, not factual accuracy or free-generation quality. The causal mask allows many training positions to be processed together without a position reading its target.</w:t>
      </w:r>
    </w:p>
    <w:p>
      <w:pPr>
        <w:pStyle w:val="Heading2"/>
      </w:pPr>
      <w:r>
        <w:t>Then inspect one genuine optimizer update—in a toy</w:t>
      </w:r>
    </w:p>
    <w:p>
      <w:r>
        <w:t>The separate three-class, two-input example displays all weights, logits, probabilities, loss, analytic gradient and updated weights. It uses gradient = (p − one_hot(target)) outer_product input, followed by W_new = W_old − learning_rate × gradient. Offline tests compare every gradient coordinate with a finite difference and check that the demonstrated loss decreases.</w:t>
      </w:r>
    </w:p>
    <w:p>
      <w:r>
        <w:t>That toy changes only its invented weights. The real model remains frozen. Computing loss, differentiating activations and updating model parameters are different actions. You should be able to explain which action each panel actually performs.</w:t>
      </w:r>
    </w:p>
    <w:p>
      <w:pPr>
        <w:pStyle w:val="Heading1"/>
      </w:pPr>
      <w:r>
        <w:t>8. Lenses, probes, and local derivatives</w:t>
      </w:r>
    </w:p>
    <w:p>
      <w:pPr>
        <w:pStyle w:val="Heading2"/>
      </w:pPr>
      <w:r>
        <w:t>Raw logit lens: a readout convention</w:t>
      </w:r>
    </w:p>
    <w:p>
      <w:r>
        <w:t>For each raw stage, the lab applies final RMSNorm and the output matrix. It separately shows the final RMSNorm state and does not normalize that row again. Raw block 30 and the post-normalization row can have different norms but should decode to the same final logits. The final readout is tested against the model.</w:t>
      </w:r>
    </w:p>
    <w:p>
      <w:r>
        <w:t>At earlier stages, this is a particular measurement method: it is not necessarily the decoder best suited to that representation. A poor intermediate readout does not prove useful information is absent. Intermediate vocabulary projections cost computation; a lens is not free access to the model’s thoughts.</w:t>
      </w:r>
    </w:p>
    <w:p>
      <w:pPr>
        <w:pStyle w:val="Heading2"/>
      </w:pPr>
      <w:r>
        <w:t>Affine final-state regression probe</w:t>
      </w:r>
    </w:p>
    <w:p>
      <w:r>
        <w:t>The optional replacement fits the remaining raw residual update with an intercept. Calibration and evaluation prompts are visible; duplicate or overlapping token sequences are rejected, even when their text differs only in tokenization-equivalent whitespace. The model weights do not change.</w:t>
      </w:r>
    </w:p>
    <w:p>
      <w:pPr>
        <w:pStyle w:val="CodeBlock"/>
      </w:pPr>
      <w:r>
        <w:rPr>
          <w:rFonts w:ascii="DejaVu Sans Mono" w:hAnsi="DejaVu Sans Mono" w:cs="DejaVu Sans Mono" w:eastAsia="DejaVu Sans Mono"/>
          <w:sz w:val="18"/>
        </w:rPr>
        <w:t>delta = final_raw_state − intermediate_raw_state</w:t>
        <w:br/>
        <w:t>Fit centered delta from centered intermediate states with ridge.</w:t>
        <w:br/>
        <w:t>predicted_final(h) = h + mean_delta + fitted_centered_update(h)</w:t>
      </w:r>
    </w:p>
    <w:p>
      <w:r>
        <w:t>It uses a dual ridge solution whose penalty is scaled to the average training Gram diagonal. The constant mean update is learned separately, so the predictor does not have to pass through the origin. At the last raw stage, the remaining update is zero, giving an identity reference.</w:t>
      </w:r>
    </w:p>
    <w:p>
      <w:r>
        <w:t>Evaluation compares held-out KL(final distribution || decoded prediction) for the raw logit lens, fitted probe and constant mean-final-state baseline, plus relative final-state error and per-example results. It reports whether the method helped; it does not assume improvement. The initial corpus is intentionally small and inspectable, not a benchmark.</w:t>
      </w:r>
    </w:p>
    <w:p>
      <w:r>
        <w:t>This is state regression, not the published tuned lens’s KL-trained affine translator. It is labeled accordingly. If you choose ridge or prompts based on held-out performance, that set becomes validation data; use a fresh test set to estimate generalization.</w:t>
      </w:r>
      <w:r>
        <w:t xml:space="preserve"> </w:t>
      </w:r>
      <w:hyperlink r:id="rId24">
        <w:r>
          <w:rPr>
            <w:color w:val="215E96"/>
            <w:u w:val="single"/>
          </w:rPr>
          <w:t>[12]</w:t>
        </w:r>
      </w:hyperlink>
    </w:p>
    <w:p>
      <w:pPr>
        <w:pStyle w:val="Heading2"/>
      </w:pPr>
      <w:r>
        <w:t>Jacobian-vector product: an anchored local experiment</w:t>
      </w:r>
    </w:p>
    <w:p>
      <w:pPr>
        <w:pStyle w:val="CodeBlock"/>
      </w:pPr>
      <w:r>
        <w:rPr>
          <w:rFonts w:ascii="DejaVu Sans Mono" w:hAnsi="DejaVu Sans Mono" w:cs="DejaVu Sans Mono" w:eastAsia="DejaVu Sans Mono"/>
          <w:sz w:val="18"/>
        </w:rPr>
        <w:t>f(h + epsilon × v) ≈ f(h) + epsilon × J(h)v</w:t>
        <w:br/>
        <w:t>Not generally: f(h) ≈ J(h)h</w:t>
      </w:r>
    </w:p>
    <w:p>
      <w:r>
        <w:t>The JVP panel perturbs one coordinate of the last-position residual after a chosen block. Earlier positions at that stage are fixed. Autograd differentiates the downstream final pre-normalization state. The lab compares the derivative with a central finite difference, and the linear prediction with the actual perturbed state.</w:t>
      </w:r>
    </w:p>
    <w:p>
      <w:r>
        <w:t>Try several epsilon values. Very small steps can suffer float32 cancellation; large steps leave the local regime. This is not the whole sequence’s Jacobian, not a global predictor, and not training. The final-stage identity and anchor checks are sanity checks, not proof of the earlier mappings’ explanatory validity.</w:t>
      </w:r>
    </w:p>
    <w:p>
      <w:pPr>
        <w:pStyle w:val="Heading1"/>
      </w:pPr>
      <w:r>
        <w:t>9. Engineering changes and experiment records</w:t>
      </w:r>
    </w:p>
    <w:p>
      <w:pPr>
        <w:pStyle w:val="Heading2"/>
      </w:pPr>
      <w:r>
        <w:t>Changed structure and API contract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2900"/>
        <w:gridCol w:w="6460"/>
      </w:tblGrid>
      <w:tr>
        <w:trPr>
          <w:cantSplit/>
          <w:tblHeader/>
        </w:trPr>
        <w:tc>
          <w:tcPr>
            <w:tcW w:type="dxa" w:w="2900"/>
            <w:shd w:fill="E8EEF5"/>
          </w:tcPr>
          <w:p>
            <w:pPr>
              <w:spacing w:after="60" w:line="259" w:lineRule="auto"/>
            </w:pPr>
            <w:r>
              <w:rPr>
                <w:b/>
                <w:sz w:val="20"/>
              </w:rPr>
              <w:t>Component</w:t>
            </w:r>
          </w:p>
        </w:tc>
        <w:tc>
          <w:tcPr>
            <w:tcW w:type="dxa" w:w="6460"/>
            <w:shd w:fill="E8EEF5"/>
          </w:tcPr>
          <w:p>
            <w:pPr>
              <w:spacing w:after="60" w:line="259" w:lineRule="auto"/>
            </w:pPr>
            <w:r>
              <w:rPr>
                <w:b/>
                <w:sz w:val="20"/>
              </w:rPr>
              <w:t>Responsibility</w:t>
            </w:r>
          </w:p>
        </w:tc>
      </w:tr>
      <w:tr>
        <w:trPr>
          <w:cantSplit/>
        </w:trPr>
        <w:tc>
          <w:tcPr>
            <w:tcW w:type="dxa" w:w="2900"/>
          </w:tcPr>
          <w:p>
            <w:pPr>
              <w:spacing w:after="60" w:line="259" w:lineRule="auto"/>
            </w:pPr>
            <w:r>
              <w:rPr>
                <w:b w:val="0"/>
                <w:sz w:val="20"/>
              </w:rPr>
              <w:t>main.py</w:t>
            </w:r>
          </w:p>
        </w:tc>
        <w:tc>
          <w:tcPr>
            <w:tcW w:type="dxa" w:w="6460"/>
          </w:tcPr>
          <w:p>
            <w:pPr>
              <w:spacing w:after="60" w:line="259" w:lineRule="auto"/>
            </w:pPr>
            <w:r>
              <w:rPr>
                <w:b w:val="0"/>
                <w:sz w:val="20"/>
              </w:rPr>
              <w:t>Validated API, lazy loading, shared request lock, local static serving.</w:t>
            </w:r>
          </w:p>
        </w:tc>
      </w:tr>
      <w:tr>
        <w:trPr>
          <w:cantSplit/>
        </w:trPr>
        <w:tc>
          <w:tcPr>
            <w:tcW w:type="dxa" w:w="2900"/>
          </w:tcPr>
          <w:p>
            <w:pPr>
              <w:spacing w:after="60" w:line="259" w:lineRule="auto"/>
            </w:pPr>
            <w:r>
              <w:rPr>
                <w:b w:val="0"/>
                <w:sz w:val="20"/>
              </w:rPr>
              <w:t>engine.py</w:t>
            </w:r>
          </w:p>
        </w:tc>
        <w:tc>
          <w:tcPr>
            <w:tcW w:type="dxa" w:w="6460"/>
          </w:tcPr>
          <w:p>
            <w:pPr>
              <w:spacing w:after="60" w:line="259" w:lineRule="auto"/>
            </w:pPr>
            <w:r>
              <w:rPr>
                <w:b w:val="0"/>
                <w:sz w:val="20"/>
              </w:rPr>
              <w:t>Actual model execution, hooks, reconstruction, metrics, interventions and probes.</w:t>
            </w:r>
          </w:p>
        </w:tc>
      </w:tr>
      <w:tr>
        <w:trPr>
          <w:cantSplit/>
        </w:trPr>
        <w:tc>
          <w:tcPr>
            <w:tcW w:type="dxa" w:w="2900"/>
          </w:tcPr>
          <w:p>
            <w:pPr>
              <w:spacing w:after="60" w:line="259" w:lineRule="auto"/>
            </w:pPr>
            <w:r>
              <w:rPr>
                <w:b w:val="0"/>
                <w:sz w:val="20"/>
              </w:rPr>
              <w:t>math_core.py</w:t>
            </w:r>
          </w:p>
        </w:tc>
        <w:tc>
          <w:tcPr>
            <w:tcW w:type="dxa" w:w="6460"/>
          </w:tcPr>
          <w:p>
            <w:pPr>
              <w:spacing w:after="60" w:line="259" w:lineRule="auto"/>
            </w:pPr>
            <w:r>
              <w:rPr>
                <w:b w:val="0"/>
                <w:sz w:val="20"/>
              </w:rPr>
              <w:t>Independent NumPy reference operations and the invented toy lessons.</w:t>
            </w:r>
          </w:p>
        </w:tc>
      </w:tr>
      <w:tr>
        <w:trPr>
          <w:cantSplit/>
        </w:trPr>
        <w:tc>
          <w:tcPr>
            <w:tcW w:type="dxa" w:w="2900"/>
          </w:tcPr>
          <w:p>
            <w:pPr>
              <w:spacing w:after="60" w:line="259" w:lineRule="auto"/>
            </w:pPr>
            <w:r>
              <w:rPr>
                <w:b w:val="0"/>
                <w:sz w:val="20"/>
              </w:rPr>
              <w:t>static/index.html</w:t>
            </w:r>
          </w:p>
        </w:tc>
        <w:tc>
          <w:tcPr>
            <w:tcW w:type="dxa" w:w="6460"/>
          </w:tcPr>
          <w:p>
            <w:pPr>
              <w:spacing w:after="60" w:line="259" w:lineRule="auto"/>
            </w:pPr>
            <w:r>
              <w:rPr>
                <w:b w:val="0"/>
                <w:sz w:val="20"/>
              </w:rPr>
              <w:t>Nine ordered sections, Guided/Explorer modes, explanations, sources and controls.</w:t>
            </w:r>
          </w:p>
        </w:tc>
      </w:tr>
      <w:tr>
        <w:trPr>
          <w:cantSplit/>
        </w:trPr>
        <w:tc>
          <w:tcPr>
            <w:tcW w:type="dxa" w:w="2900"/>
          </w:tcPr>
          <w:p>
            <w:pPr>
              <w:spacing w:after="60" w:line="259" w:lineRule="auto"/>
            </w:pPr>
            <w:r>
              <w:rPr>
                <w:b w:val="0"/>
                <w:sz w:val="20"/>
              </w:rPr>
              <w:t>static/app.js / math.js / style.css</w:t>
            </w:r>
          </w:p>
        </w:tc>
        <w:tc>
          <w:tcPr>
            <w:tcW w:type="dxa" w:w="6460"/>
          </w:tcPr>
          <w:p>
            <w:pPr>
              <w:spacing w:after="60" w:line="259" w:lineRule="auto"/>
            </w:pPr>
            <w:r>
              <w:rPr>
                <w:b w:val="0"/>
                <w:sz w:val="20"/>
              </w:rPr>
              <w:t>Rendering, calculations, JSON export and responsive overflow-safe layout.</w:t>
            </w:r>
          </w:p>
        </w:tc>
      </w:tr>
      <w:tr>
        <w:trPr>
          <w:cantSplit/>
        </w:trPr>
        <w:tc>
          <w:tcPr>
            <w:tcW w:type="dxa" w:w="2900"/>
          </w:tcPr>
          <w:p>
            <w:pPr>
              <w:spacing w:after="60" w:line="259" w:lineRule="auto"/>
            </w:pPr>
            <w:r>
              <w:rPr>
                <w:b w:val="0"/>
                <w:sz w:val="20"/>
              </w:rPr>
              <w:t>tests/ and verify_model.py</w:t>
            </w:r>
          </w:p>
        </w:tc>
        <w:tc>
          <w:tcPr>
            <w:tcW w:type="dxa" w:w="6460"/>
          </w:tcPr>
          <w:p>
            <w:pPr>
              <w:spacing w:after="60" w:line="259" w:lineRule="auto"/>
            </w:pPr>
            <w:r>
              <w:rPr>
                <w:b w:val="0"/>
                <w:sz w:val="20"/>
              </w:rPr>
              <w:t>Offline checks, tiny untrained model/API tests and real-checkpoint report generation.</w:t>
            </w:r>
          </w:p>
        </w:tc>
      </w:tr>
    </w:tbl>
    <w:p>
      <w:r>
        <w:t>Heavy operations now use POST JSON. The new /api/intervene replaces the old knockout route, and /api/lenses returns a different, explicitly labeled structure. Do not mix the old HTML with the new backend. Local /docs shows the current request schemas after launch.</w:t>
      </w:r>
    </w:p>
    <w:p>
      <w:pPr>
        <w:pStyle w:val="Heading2"/>
      </w:pPr>
      <w:r>
        <w:t>Safety and repeatability</w:t>
      </w:r>
    </w:p>
    <w:p>
      <w:r>
        <w:t>A single re-entrant lock serializes model operations. Temporary hooks are removed on success or failure; a provided test deliberately injects a forward-pass exception. The browser also prevents overlapping model actions from its own controls. Model loading is lazy, remote model code is disabled and safetensors is requested. No legacy pickle is loaded.</w:t>
      </w:r>
    </w:p>
    <w:p>
      <w:r>
        <w:t>Bounds constrain prompt length, token budget, run count and probe corpus size. Invalid settings yield explicit errors. Attention-heavy requests reject long prompts rather than silently inspecting a different prefix. Dtype and eager backend are fixed and recorded because they affect numerical comparisons.</w:t>
      </w:r>
    </w:p>
    <w:p>
      <w:pPr>
        <w:pStyle w:val="Heading2"/>
      </w:pPr>
      <w:r>
        <w:t>Provenance and privacy</w:t>
      </w:r>
    </w:p>
    <w:p>
      <w:r>
        <w:t>Each ordinary model result retains its exact prompt, IDs, run ID, UTC timestamp, operation, settings and runtime identity. Probe reports retain a probe ID, timestamp, corpus, ridge value and evaluation results. Editing prompt A leaves old result stamps intact and shows a stale-results warning. The browser escapes user/model text before inserting it into HTML.</w:t>
      </w:r>
    </w:p>
    <w:p>
      <w:r>
        <w:t>Session export retains the most recent ten result records and all notes. Notes separately record hypothesis, observation, explanation and linked run identity. Reloading clears page memory. Probe coefficients are server-memory only: the export preserves enough corpus/settings information to refit, not a serialized fitted weight file.</w:t>
      </w:r>
    </w:p>
    <w:p>
      <w:r>
        <w:t>Prompts are not sent to an external inference service; checkpoint downloads contact Hugging Face as needed. JSON exports and local access logs may contain private text. This is a loopback, single-user teaching app, not an authenticated multi-user service. Do not expose it on a public interface.</w:t>
      </w:r>
    </w:p>
    <w:p>
      <w:pPr>
        <w:pStyle w:val="Heading1"/>
      </w:pPr>
      <w:r>
        <w:t>10. What verification actually establishes</w:t>
      </w:r>
    </w:p>
    <w:p>
      <w:r>
        <w:t>The package contains verification_preparation.json with the actual commands, exit codes, output, environment availability and source hashes from preparation. The following checks were executed successfully. Their scope must not be enlarged in retelling.</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2600"/>
        <w:gridCol w:w="1200"/>
        <w:gridCol w:w="5560"/>
      </w:tblGrid>
      <w:tr>
        <w:trPr>
          <w:cantSplit/>
          <w:tblHeader/>
        </w:trPr>
        <w:tc>
          <w:tcPr>
            <w:tcW w:type="dxa" w:w="2600"/>
            <w:shd w:fill="E8EEF5"/>
          </w:tcPr>
          <w:p>
            <w:pPr>
              <w:spacing w:after="60" w:line="259" w:lineRule="auto"/>
            </w:pPr>
            <w:r>
              <w:rPr>
                <w:b/>
                <w:sz w:val="20"/>
              </w:rPr>
              <w:t>Executed here</w:t>
            </w:r>
          </w:p>
        </w:tc>
        <w:tc>
          <w:tcPr>
            <w:tcW w:type="dxa" w:w="1200"/>
            <w:shd w:fill="E8EEF5"/>
          </w:tcPr>
          <w:p>
            <w:pPr>
              <w:spacing w:after="60" w:line="259" w:lineRule="auto"/>
            </w:pPr>
            <w:r>
              <w:rPr>
                <w:b/>
                <w:sz w:val="20"/>
              </w:rPr>
              <w:t>Result</w:t>
            </w:r>
          </w:p>
        </w:tc>
        <w:tc>
          <w:tcPr>
            <w:tcW w:type="dxa" w:w="5560"/>
            <w:shd w:fill="E8EEF5"/>
          </w:tcPr>
          <w:p>
            <w:pPr>
              <w:spacing w:after="60" w:line="259" w:lineRule="auto"/>
            </w:pPr>
            <w:r>
              <w:rPr>
                <w:b/>
                <w:sz w:val="20"/>
              </w:rPr>
              <w:t>What it covers</w:t>
            </w:r>
          </w:p>
        </w:tc>
      </w:tr>
      <w:tr>
        <w:trPr>
          <w:cantSplit/>
        </w:trPr>
        <w:tc>
          <w:tcPr>
            <w:tcW w:type="dxa" w:w="2600"/>
          </w:tcPr>
          <w:p>
            <w:pPr>
              <w:spacing w:after="60" w:line="259" w:lineRule="auto"/>
            </w:pPr>
            <w:r>
              <w:rPr>
                <w:b w:val="0"/>
                <w:sz w:val="20"/>
              </w:rPr>
              <w:t>NumPy mathematics tests</w:t>
            </w:r>
          </w:p>
        </w:tc>
        <w:tc>
          <w:tcPr>
            <w:tcW w:type="dxa" w:w="1200"/>
          </w:tcPr>
          <w:p>
            <w:pPr>
              <w:spacing w:after="60" w:line="259" w:lineRule="auto"/>
            </w:pPr>
            <w:r>
              <w:rPr>
                <w:b w:val="0"/>
                <w:sz w:val="20"/>
              </w:rPr>
              <w:t>26 passed</w:t>
            </w:r>
          </w:p>
        </w:tc>
        <w:tc>
          <w:tcPr>
            <w:tcW w:type="dxa" w:w="5560"/>
          </w:tcPr>
          <w:p>
            <w:pPr>
              <w:spacing w:after="60" w:line="259" w:lineRule="auto"/>
            </w:pPr>
            <w:r>
              <w:rPr>
                <w:b w:val="0"/>
                <w:sz w:val="20"/>
              </w:rPr>
              <w:t>Softmax, odds, masks, weighted sums, norm formula, affine fit, gradients, updates and resource arithmetic.</w:t>
            </w:r>
          </w:p>
        </w:tc>
      </w:tr>
      <w:tr>
        <w:trPr>
          <w:cantSplit/>
        </w:trPr>
        <w:tc>
          <w:tcPr>
            <w:tcW w:type="dxa" w:w="2600"/>
          </w:tcPr>
          <w:p>
            <w:pPr>
              <w:spacing w:after="60" w:line="259" w:lineRule="auto"/>
            </w:pPr>
            <w:r>
              <w:rPr>
                <w:b w:val="0"/>
                <w:sz w:val="20"/>
              </w:rPr>
              <w:t>JavaScript mathematics tests</w:t>
            </w:r>
          </w:p>
        </w:tc>
        <w:tc>
          <w:tcPr>
            <w:tcW w:type="dxa" w:w="1200"/>
          </w:tcPr>
          <w:p>
            <w:pPr>
              <w:spacing w:after="60" w:line="259" w:lineRule="auto"/>
            </w:pPr>
            <w:r>
              <w:rPr>
                <w:b w:val="0"/>
                <w:sz w:val="20"/>
              </w:rPr>
              <w:t>15 passed</w:t>
            </w:r>
          </w:p>
        </w:tc>
        <w:tc>
          <w:tcPr>
            <w:tcW w:type="dxa" w:w="5560"/>
          </w:tcPr>
          <w:p>
            <w:pPr>
              <w:spacing w:after="60" w:line="259" w:lineRule="auto"/>
            </w:pPr>
            <w:r>
              <w:rPr>
                <w:b w:val="0"/>
                <w:sz w:val="20"/>
              </w:rPr>
              <w:t>Sampling, ties, interval boundaries, tail resolution, aggregation, entropy, escaping and precision.</w:t>
            </w:r>
          </w:p>
        </w:tc>
      </w:tr>
      <w:tr>
        <w:trPr>
          <w:cantSplit/>
        </w:trPr>
        <w:tc>
          <w:tcPr>
            <w:tcW w:type="dxa" w:w="2600"/>
          </w:tcPr>
          <w:p>
            <w:pPr>
              <w:spacing w:after="60" w:line="259" w:lineRule="auto"/>
            </w:pPr>
            <w:r>
              <w:rPr>
                <w:b w:val="0"/>
                <w:sz w:val="20"/>
              </w:rPr>
              <w:t>DOM-stub rendering smoke tests</w:t>
            </w:r>
          </w:p>
        </w:tc>
        <w:tc>
          <w:tcPr>
            <w:tcW w:type="dxa" w:w="1200"/>
          </w:tcPr>
          <w:p>
            <w:pPr>
              <w:spacing w:after="60" w:line="259" w:lineRule="auto"/>
            </w:pPr>
            <w:r>
              <w:rPr>
                <w:b w:val="0"/>
                <w:sz w:val="20"/>
              </w:rPr>
              <w:t>9 passed</w:t>
            </w:r>
          </w:p>
        </w:tc>
        <w:tc>
          <w:tcPr>
            <w:tcW w:type="dxa" w:w="5560"/>
          </w:tcPr>
          <w:p>
            <w:pPr>
              <w:spacing w:after="60" w:line="259" w:lineRule="auto"/>
            </w:pPr>
            <w:r>
              <w:rPr>
                <w:b w:val="0"/>
                <w:sz w:val="20"/>
              </w:rPr>
              <w:t>Control IDs, startup, navigation, stale warning, render functions, exact settings and escaped text.</w:t>
            </w:r>
          </w:p>
        </w:tc>
      </w:tr>
      <w:tr>
        <w:trPr>
          <w:cantSplit/>
        </w:trPr>
        <w:tc>
          <w:tcPr>
            <w:tcW w:type="dxa" w:w="2600"/>
          </w:tcPr>
          <w:p>
            <w:pPr>
              <w:spacing w:after="60" w:line="259" w:lineRule="auto"/>
            </w:pPr>
            <w:r>
              <w:rPr>
                <w:b w:val="0"/>
                <w:sz w:val="20"/>
              </w:rPr>
              <w:t>Syntax / compilation</w:t>
            </w:r>
          </w:p>
        </w:tc>
        <w:tc>
          <w:tcPr>
            <w:tcW w:type="dxa" w:w="1200"/>
          </w:tcPr>
          <w:p>
            <w:pPr>
              <w:spacing w:after="60" w:line="259" w:lineRule="auto"/>
            </w:pPr>
            <w:r>
              <w:rPr>
                <w:b w:val="0"/>
                <w:sz w:val="20"/>
              </w:rPr>
              <w:t>Passed</w:t>
            </w:r>
          </w:p>
        </w:tc>
        <w:tc>
          <w:tcPr>
            <w:tcW w:type="dxa" w:w="5560"/>
          </w:tcPr>
          <w:p>
            <w:pPr>
              <w:spacing w:after="60" w:line="259" w:lineRule="auto"/>
            </w:pPr>
            <w:r>
              <w:rPr>
                <w:b w:val="0"/>
                <w:sz w:val="20"/>
              </w:rPr>
              <w:t>Python compileall, JavaScript parser checks and Bash launcher syntax.</w:t>
            </w:r>
          </w:p>
        </w:tc>
      </w:tr>
    </w:tbl>
    <w:p>
      <w:pPr>
        <w:pStyle w:val="Heading2"/>
      </w:pPr>
      <w:r>
        <w:t>Provided, but not executed here</w:t>
      </w:r>
    </w:p>
    <w:p>
      <w:r>
        <w:t>tests/test_model.py defines 20 test methods. It creates a tiny random Llama and tokenizer locally, so it needs the installed libraries but no downloaded model weights. It tests block reconstruction, all positions and GQA mappings, final normalization, seed replay, cached greedy generation, an independent uniform-intervention oracle, hook cleanup after exceptions, teacher-forced loss, comparison identity, probe overlap checks, local JVPs, frozen parameters, API routes and request validation.</w:t>
      </w:r>
    </w:p>
    <w:p>
      <w:r>
        <w:t>verify_model.py and section 9 of the app run against the real checkpoint. They reconstruct every block, compare attention/MLP/residual outputs, test causal masks and row sums, final readout, cache/prefix agreement, no-op control, all-head removal, hook restoration, probability normalization and seed replay. These were not run in preparation.</w:t>
      </w:r>
    </w:p>
    <w:p>
      <w:pPr>
        <w:pStyle w:val="Heading2"/>
      </w:pPr>
      <w:r>
        <w:t>Numerical thresholds are visible, not silently relaxed</w:t>
      </w:r>
    </w:p>
    <w:p>
      <w:r>
        <w:t>Most tensor comparisons use absolute/relative tolerances of 0.0002/0.0002. Prefix/cache comparisons use 0.001/0.0002, and masking is tested against exact zero. Sampling sums use 1e−12 in float64. The local finite-difference derivative comparison uses 0.02/0.02 and also reports relative error; its result depends strongly on epsilon and float32 cancellation.</w:t>
      </w:r>
    </w:p>
    <w:p>
      <w:r>
        <w:t>A failed check stays a failure. Do not turn up tolerances simply to make a green badge. Investigate indexing, normalization, masks, checkpoint identity, backend and version compatibility. A pass is evidence for the tested prompt and environment, not universal semantic faithfulness, factual accuracy, or agreement across all hardware.</w:t>
      </w:r>
    </w:p>
    <w:p>
      <w:pPr>
        <w:pStyle w:val="Heading1"/>
      </w:pPr>
      <w:r>
        <w:t>11. Finish acceptance and practice explaining it</w:t>
      </w:r>
    </w:p>
    <w:p>
      <w:pPr>
        <w:pStyle w:val="Heading2"/>
      </w:pPr>
      <w:r>
        <w:t>Required independent checks on your machine</w:t>
      </w:r>
    </w:p>
    <w:p>
      <w:pPr>
        <w:pStyle w:val="ListBullet"/>
        <w:numPr>
          <w:ilvl w:val="0"/>
          <w:numId w:val="42"/>
        </w:numPr>
      </w:pPr>
      <w:r>
        <w:t>Install the documented reference environment. Run the offline suites again, then the 20-test tiny-model/API suite. Preserve the output and pip freeze results.</w:t>
      </w:r>
    </w:p>
    <w:p>
      <w:pPr>
        <w:pStyle w:val="ListBullet"/>
        <w:numPr>
          <w:ilvl w:val="0"/>
          <w:numId w:val="42"/>
        </w:numPr>
      </w:pPr>
      <w:r>
        <w:t>Run verify_model.py with a fresh output filename, or use the app’s verification button and export the report. Confirm the loaded checkpoint is the intended base model and actual tied-weight storage is reported.</w:t>
      </w:r>
    </w:p>
    <w:p>
      <w:pPr>
        <w:pStyle w:val="ListBullet"/>
        <w:numPr>
          <w:ilvl w:val="0"/>
          <w:numId w:val="42"/>
        </w:numPr>
      </w:pPr>
      <w:r>
        <w:t>Repeat short-prompt verification across normal text, repeated tokens, punctuation, leading spaces and non-English text. Check that rejected long prompts were not truncated. Keep both successes and failures.</w:t>
      </w:r>
    </w:p>
    <w:p>
      <w:pPr>
        <w:pStyle w:val="ListBullet"/>
        <w:numPr>
          <w:ilvl w:val="0"/>
          <w:numId w:val="42"/>
        </w:numPr>
      </w:pPr>
      <w:r>
        <w:t>Exercise every panel in an actual browser, including resizing, keyboard navigation, downloads, prompt edits during a request, EOS stopping and failed-request recovery. The preparation smoke tests are not browser acceptance.</w:t>
      </w:r>
    </w:p>
    <w:p>
      <w:pPr>
        <w:pStyle w:val="ListBullet"/>
        <w:numPr>
          <w:ilvl w:val="0"/>
          <w:numId w:val="42"/>
        </w:numPr>
      </w:pPr>
      <w:r>
        <w:t>For probe claims, use a larger diverse calibration set, untouched evaluation prompts and the stated baselines. Repeat local JVP checks at several stages and epsilon values. Do not infer general usefulness from the final identity case.</w:t>
      </w:r>
    </w:p>
    <w:p>
      <w:pPr>
        <w:pStyle w:val="CodeBlock"/>
      </w:pPr>
      <w:r>
        <w:rPr>
          <w:rFonts w:ascii="DejaVu Sans Mono" w:hAnsi="DejaVu Sans Mono" w:cs="DejaVu Sans Mono" w:eastAsia="DejaVu Sans Mono"/>
          <w:sz w:val="18"/>
        </w:rPr>
        <w:t>python -m unittest discover -s tests -p test_model.py -v</w:t>
        <w:br/>
        <w:t>python verify_model.py --output model_verification.json</w:t>
      </w:r>
    </w:p>
    <w:p>
      <w:r>
        <w:t>Use your .venv Python for those commands. A report filename must not already exist; the verifier refuses accidental overwrite. Node is needed only for the JavaScript tests, not for normal app operation.</w:t>
      </w:r>
    </w:p>
    <w:p>
      <w:pPr>
        <w:pStyle w:val="Heading2"/>
      </w:pPr>
      <w:r>
        <w:t>A compact learning-and-explanation route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1950"/>
        <w:gridCol w:w="7410"/>
      </w:tblGrid>
      <w:tr>
        <w:trPr>
          <w:cantSplit/>
          <w:tblHeader/>
        </w:trPr>
        <w:tc>
          <w:tcPr>
            <w:tcW w:type="dxa" w:w="1950"/>
            <w:shd w:fill="E8EEF5"/>
          </w:tcPr>
          <w:p>
            <w:pPr>
              <w:spacing w:after="60" w:line="259" w:lineRule="auto"/>
            </w:pPr>
            <w:r>
              <w:rPr>
                <w:b/>
                <w:sz w:val="20"/>
              </w:rPr>
              <w:t>After this section</w:t>
            </w:r>
          </w:p>
        </w:tc>
        <w:tc>
          <w:tcPr>
            <w:tcW w:type="dxa" w:w="7410"/>
            <w:shd w:fill="E8EEF5"/>
          </w:tcPr>
          <w:p>
            <w:pPr>
              <w:spacing w:after="60" w:line="259" w:lineRule="auto"/>
            </w:pPr>
            <w:r>
              <w:rPr>
                <w:b/>
                <w:sz w:val="20"/>
              </w:rPr>
              <w:t>You should be able to explain</w:t>
            </w:r>
          </w:p>
        </w:tc>
      </w:tr>
      <w:tr>
        <w:trPr>
          <w:cantSplit/>
        </w:trPr>
        <w:tc>
          <w:tcPr>
            <w:tcW w:type="dxa" w:w="1950"/>
          </w:tcPr>
          <w:p>
            <w:pPr>
              <w:spacing w:after="60" w:line="259" w:lineRule="auto"/>
            </w:pPr>
            <w:r>
              <w:rPr>
                <w:b w:val="0"/>
                <w:sz w:val="20"/>
              </w:rPr>
              <w:t>1 → 3 in the app</w:t>
            </w:r>
          </w:p>
        </w:tc>
        <w:tc>
          <w:tcPr>
            <w:tcW w:type="dxa" w:w="7410"/>
          </w:tcPr>
          <w:p>
            <w:pPr>
              <w:spacing w:after="60" w:line="259" w:lineRule="auto"/>
            </w:pPr>
            <w:r>
              <w:rPr>
                <w:b w:val="0"/>
                <w:sz w:val="20"/>
              </w:rPr>
              <w:t>Why the same logits yield different sampling behavior, and why diverging prefixes change later distributions.</w:t>
            </w:r>
          </w:p>
        </w:tc>
      </w:tr>
      <w:tr>
        <w:trPr>
          <w:cantSplit/>
        </w:trPr>
        <w:tc>
          <w:tcPr>
            <w:tcW w:type="dxa" w:w="1950"/>
          </w:tcPr>
          <w:p>
            <w:pPr>
              <w:spacing w:after="60" w:line="259" w:lineRule="auto"/>
            </w:pPr>
            <w:r>
              <w:rPr>
                <w:b w:val="0"/>
                <w:sz w:val="20"/>
              </w:rPr>
              <w:t>2</w:t>
            </w:r>
          </w:p>
        </w:tc>
        <w:tc>
          <w:tcPr>
            <w:tcW w:type="dxa" w:w="7410"/>
          </w:tcPr>
          <w:p>
            <w:pPr>
              <w:spacing w:after="60" w:line="259" w:lineRule="auto"/>
            </w:pPr>
            <w:r>
              <w:rPr>
                <w:b w:val="0"/>
                <w:sz w:val="20"/>
              </w:rPr>
              <w:t>How a full residual vector produces a query, a masked attention row, a weighted value sum and an MLP update.</w:t>
            </w:r>
          </w:p>
        </w:tc>
      </w:tr>
      <w:tr>
        <w:trPr>
          <w:cantSplit/>
        </w:trPr>
        <w:tc>
          <w:tcPr>
            <w:tcW w:type="dxa" w:w="1950"/>
          </w:tcPr>
          <w:p>
            <w:pPr>
              <w:spacing w:after="60" w:line="259" w:lineRule="auto"/>
            </w:pPr>
            <w:r>
              <w:rPr>
                <w:b w:val="0"/>
                <w:sz w:val="20"/>
              </w:rPr>
              <w:t>4 → 6</w:t>
            </w:r>
          </w:p>
        </w:tc>
        <w:tc>
          <w:tcPr>
            <w:tcW w:type="dxa" w:w="7410"/>
          </w:tcPr>
          <w:p>
            <w:pPr>
              <w:spacing w:after="60" w:line="259" w:lineRule="auto"/>
            </w:pPr>
            <w:r>
              <w:rPr>
                <w:b w:val="0"/>
                <w:sz w:val="20"/>
              </w:rPr>
              <w:t>What you changed, what you measured, which confounds remain, and why attention alone is not the explanation.</w:t>
            </w:r>
          </w:p>
        </w:tc>
      </w:tr>
      <w:tr>
        <w:trPr>
          <w:cantSplit/>
        </w:trPr>
        <w:tc>
          <w:tcPr>
            <w:tcW w:type="dxa" w:w="1950"/>
          </w:tcPr>
          <w:p>
            <w:pPr>
              <w:spacing w:after="60" w:line="259" w:lineRule="auto"/>
            </w:pPr>
            <w:r>
              <w:rPr>
                <w:b w:val="0"/>
                <w:sz w:val="20"/>
              </w:rPr>
              <w:t>7</w:t>
            </w:r>
          </w:p>
        </w:tc>
        <w:tc>
          <w:tcPr>
            <w:tcW w:type="dxa" w:w="7410"/>
          </w:tcPr>
          <w:p>
            <w:pPr>
              <w:spacing w:after="60" w:line="259" w:lineRule="auto"/>
            </w:pPr>
            <w:r>
              <w:rPr>
                <w:b w:val="0"/>
                <w:sz w:val="20"/>
              </w:rPr>
              <w:t>How shifted targets produce loss and gradients, and when an optimizer actually changes weights.</w:t>
            </w:r>
          </w:p>
        </w:tc>
      </w:tr>
      <w:tr>
        <w:trPr>
          <w:cantSplit/>
        </w:trPr>
        <w:tc>
          <w:tcPr>
            <w:tcW w:type="dxa" w:w="1950"/>
          </w:tcPr>
          <w:p>
            <w:pPr>
              <w:spacing w:after="60" w:line="259" w:lineRule="auto"/>
            </w:pPr>
            <w:r>
              <w:rPr>
                <w:b w:val="0"/>
                <w:sz w:val="20"/>
              </w:rPr>
              <w:t>8 → 9</w:t>
            </w:r>
          </w:p>
        </w:tc>
        <w:tc>
          <w:tcPr>
            <w:tcW w:type="dxa" w:w="7410"/>
          </w:tcPr>
          <w:p>
            <w:pPr>
              <w:spacing w:after="60" w:line="259" w:lineRule="auto"/>
            </w:pPr>
            <w:r>
              <w:rPr>
                <w:b w:val="0"/>
                <w:sz w:val="20"/>
              </w:rPr>
              <w:t>Why a readout is a measurement method, how a local derivative differs from prediction, and what a passing check proves.</w:t>
            </w:r>
          </w:p>
        </w:tc>
      </w:tr>
    </w:tbl>
    <w:p>
      <w:pPr>
        <w:pStyle w:val="Heading2"/>
      </w:pPr>
      <w:r>
        <w:t>Three evidence categories to keep separate</w:t>
      </w:r>
    </w:p>
    <w:p>
      <w:r>
        <w:t>Solid findings: the source-level issues in §2 and executed offline checks in §10. Uncertain/contested findings: a sink’s function in a particular head, semantic interpretations of readouts, and general probe usefulness. Independent verification required: real model/API execution, pretrained numerical results, actual browser behavior, performance, and broader probe generalization.</w:t>
      </w:r>
    </w:p>
    <w:p>
      <w:pPr>
        <w:pStyle w:val="Heading1"/>
      </w:pPr>
      <w:r>
        <w:t>12. Primary references and evidence boundaries</w:t>
      </w:r>
    </w:p>
    <w:p>
      <w:pPr>
        <w:pStyle w:val="ReferenceText"/>
      </w:pPr>
      <w:r>
        <w:t>Links were consulted for this audit on 7 September 2026. They support the architecture and methodological explanations; they do not certify the revised implementation. The uploaded source and the included preparation report are the direct evidence for code changes and executed tests.</w:t>
      </w:r>
    </w:p>
    <w:p>
      <w:pPr>
        <w:pStyle w:val="ReferenceText"/>
      </w:pPr>
      <w:hyperlink r:id="rId12">
        <w:r>
          <w:rPr>
            <w:color w:val="215E96"/>
            <w:u w:val="single"/>
          </w:rPr>
          <w:t>[1] SmolLM2-135M configuration</w:t>
        </w:r>
      </w:hyperlink>
      <w:r>
        <w:br/>
        <w:t>Checkpoint geometry, tied embeddings and normalization/position settings.</w:t>
      </w:r>
    </w:p>
    <w:p>
      <w:pPr>
        <w:pStyle w:val="ReferenceText"/>
      </w:pPr>
      <w:hyperlink r:id="rId11">
        <w:r>
          <w:rPr>
            <w:color w:val="215E96"/>
            <w:u w:val="single"/>
          </w:rPr>
          <w:t>[2] SmolLM2-135M model card</w:t>
        </w:r>
      </w:hyperlink>
      <w:r>
        <w:br/>
        <w:t>Base checkpoint identity and model documentation.</w:t>
      </w:r>
    </w:p>
    <w:p>
      <w:pPr>
        <w:pStyle w:val="ReferenceText"/>
      </w:pPr>
      <w:hyperlink r:id="rId13">
        <w:r>
          <w:rPr>
            <w:color w:val="215E96"/>
            <w:u w:val="single"/>
          </w:rPr>
          <w:t>[3] Transformers 4.46.3 Llama documentation</w:t>
        </w:r>
      </w:hyperlink>
      <w:r>
        <w:br/>
        <w:t>Pinned Llama interface reference; backend execution still requires local tests.</w:t>
      </w:r>
    </w:p>
    <w:p>
      <w:pPr>
        <w:pStyle w:val="ReferenceText"/>
      </w:pPr>
      <w:hyperlink r:id="rId17">
        <w:r>
          <w:rPr>
            <w:color w:val="215E96"/>
            <w:u w:val="single"/>
          </w:rPr>
          <w:t>[4] Attention Is All You Need</w:t>
        </w:r>
      </w:hyperlink>
      <w:r>
        <w:br/>
        <w:t>Foundational attention mechanism; not every component of this modern decoder.</w:t>
      </w:r>
    </w:p>
    <w:p>
      <w:pPr>
        <w:pStyle w:val="ReferenceText"/>
      </w:pPr>
      <w:hyperlink r:id="rId18">
        <w:r>
          <w:rPr>
            <w:color w:val="215E96"/>
            <w:u w:val="single"/>
          </w:rPr>
          <w:t>[5] RoFormer: Enhanced Transformer with Rotary Position Embedding</w:t>
        </w:r>
      </w:hyperlink>
      <w:r>
        <w:br/>
        <w:t>Position-dependent query/key rotations.</w:t>
      </w:r>
    </w:p>
    <w:p>
      <w:pPr>
        <w:pStyle w:val="ReferenceText"/>
      </w:pPr>
      <w:hyperlink r:id="rId14">
        <w:r>
          <w:rPr>
            <w:color w:val="215E96"/>
            <w:u w:val="single"/>
          </w:rPr>
          <w:t>[6] GQA: Training Generalized Multi-Query Transformer Models</w:t>
        </w:r>
      </w:hyperlink>
      <w:r>
        <w:br/>
        <w:t>Sharing key/value heads across query-head groups.</w:t>
      </w:r>
    </w:p>
    <w:p>
      <w:pPr>
        <w:pStyle w:val="ReferenceText"/>
      </w:pPr>
      <w:hyperlink r:id="rId19">
        <w:r>
          <w:rPr>
            <w:color w:val="215E96"/>
            <w:u w:val="single"/>
          </w:rPr>
          <w:t>[7] Attention is not Explanation</w:t>
        </w:r>
      </w:hyperlink>
      <w:r>
        <w:br/>
        <w:t>Attention/explanation cautions from classifier experiments.</w:t>
      </w:r>
    </w:p>
    <w:p>
      <w:pPr>
        <w:pStyle w:val="ReferenceText"/>
      </w:pPr>
      <w:hyperlink r:id="rId20">
        <w:r>
          <w:rPr>
            <w:color w:val="215E96"/>
            <w:u w:val="single"/>
          </w:rPr>
          <w:t>[8] Attention is not not Explanation</w:t>
        </w:r>
      </w:hyperlink>
      <w:r>
        <w:br/>
        <w:t>Alternative attention tests and the trained uniform baseline in §3.2.</w:t>
      </w:r>
    </w:p>
    <w:p>
      <w:pPr>
        <w:pStyle w:val="ReferenceText"/>
      </w:pPr>
      <w:hyperlink r:id="rId21">
        <w:r>
          <w:rPr>
            <w:color w:val="215E96"/>
            <w:u w:val="single"/>
          </w:rPr>
          <w:t>[9] Is Attention Interpretable?</w:t>
        </w:r>
      </w:hyperlink>
      <w:r>
        <w:br/>
        <w:t>Intervention-oriented attention interpretability experiments.</w:t>
      </w:r>
    </w:p>
    <w:p>
      <w:pPr>
        <w:pStyle w:val="ReferenceText"/>
      </w:pPr>
      <w:hyperlink r:id="rId22">
        <w:r>
          <w:rPr>
            <w:color w:val="215E96"/>
            <w:u w:val="single"/>
          </w:rPr>
          <w:t>[10] Why Do LLMs Attend to the First Token?</w:t>
        </w:r>
      </w:hyperlink>
      <w:r>
        <w:br/>
        <w:t>Attention-sink and over-mixing account; external Gemma/RULER results.</w:t>
      </w:r>
    </w:p>
    <w:p>
      <w:pPr>
        <w:pStyle w:val="ReferenceText"/>
      </w:pPr>
      <w:hyperlink r:id="rId23">
        <w:r>
          <w:rPr>
            <w:color w:val="215E96"/>
            <w:u w:val="single"/>
          </w:rPr>
          <w:t>[11] Efficient Streaming Language Models with Attention Sinks</w:t>
        </w:r>
      </w:hyperlink>
      <w:r>
        <w:br/>
        <w:t>Streaming cache behavior and external long-context perplexity results.</w:t>
      </w:r>
    </w:p>
    <w:p>
      <w:pPr>
        <w:pStyle w:val="ReferenceText"/>
      </w:pPr>
      <w:hyperlink r:id="rId24">
        <w:r>
          <w:rPr>
            <w:color w:val="215E96"/>
            <w:u w:val="single"/>
          </w:rPr>
          <w:t>[12] Tuned lens: official research implementation</w:t>
        </w:r>
      </w:hyperlink>
      <w:r>
        <w:br/>
        <w:t>Published tuned-lens implementation; distinct from this lab’s state-regression probe.</w:t>
      </w:r>
    </w:p>
    <w:p>
      <w:pPr>
        <w:pStyle w:val="ReferenceText"/>
      </w:pPr>
      <w:hyperlink r:id="rId15">
        <w:r>
          <w:rPr>
            <w:color w:val="215E96"/>
            <w:u w:val="single"/>
          </w:rPr>
          <w:t>[13] Hugging Face: KV cache explanation</w:t>
        </w:r>
      </w:hyperlink>
      <w:r>
        <w:br/>
        <w:t>Cache mechanics and incremental decoding.</w:t>
      </w:r>
    </w:p>
    <w:p>
      <w:pPr>
        <w:pStyle w:val="ReferenceText"/>
      </w:pPr>
      <w:hyperlink r:id="rId16">
        <w:r>
          <w:rPr>
            <w:color w:val="215E96"/>
            <w:u w:val="single"/>
          </w:rPr>
          <w:t>[14] PyTorch: Reproducibility</w:t>
        </w:r>
      </w:hyperlink>
      <w:r>
        <w:br/>
        <w:t>Limits of seeded reproducibility across platforms and releases.</w:t>
      </w:r>
    </w:p>
    <w:p>
      <w:pPr>
        <w:pStyle w:val="Heading2"/>
      </w:pPr>
      <w:r>
        <w:t>Provenance of the revision</w:t>
      </w:r>
    </w:p>
    <w:p>
      <w:pPr>
        <w:pStyle w:val="ReferenceText"/>
      </w:pPr>
      <w:r>
        <w:t>Inputs: index(1).html and main(2).py. Preserved copies: originals/index_original.html and originals/main_original.py. The source review supersedes any earlier screenshot-only suspicion contradicted by the code, especially final-state double normalization. The screenshot sequence is historical context, not a reproducible numerical run.</w:t>
      </w:r>
    </w:p>
    <w:p>
      <w:pPr>
        <w:pStyle w:val="ReferenceText"/>
      </w:pPr>
      <w:r>
        <w:t>The updated implementation, tests, launchers, README and preparation report are packaged together. This guide was created with explicit page, heading and table styles, then rendered and visually checked before delivery. No pretrained runtime pass has been invented or implied.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6174"/>
        <w:sz w:val="16"/>
      </w:rP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B6174"/>
        <w:sz w:val="16"/>
      </w:rPr>
      <w:t>TRANSFORMER LEARNING LAB  /  ENGINEERING &amp;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lvl w:ilvl="0">
      <w:start w:val="1"/>
      <w:numFmt w:val="bullet"/>
      <w:lvlText w:val="•"/>
      <w:lvlJc w:val="left"/>
      <w:suff w:val="tab"/>
      <w:pPr>
        <w:tabs>
          <w:tab w:val="num" w:pos="540"/>
        </w:tabs>
        <w:ind w:left="540" w:hanging="270"/>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after="140"/>
    </w:pPr>
    <w:rPr>
      <w:rFonts w:ascii="DejaVu Sans Mono" w:hAnsi="DejaVu Sans Mono"/>
      <w:sz w:val="18"/>
    </w:rPr>
  </w:style>
  <w:style w:type="paragraph" w:customStyle="1" w:styleId="ReferenceText">
    <w:name w:val="Reference Text"/>
    <w:pPr>
      <w:spacing w:line="276" w:lineRule="auto" w:after="12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ggingface.co/HuggingFaceTB/SmolLM2-135M" TargetMode="External"/><Relationship Id="rId12" Type="http://schemas.openxmlformats.org/officeDocument/2006/relationships/hyperlink" Target="https://huggingface.co/HuggingFaceTB/SmolLM2-135M/blob/main/config.json" TargetMode="External"/><Relationship Id="rId13" Type="http://schemas.openxmlformats.org/officeDocument/2006/relationships/hyperlink" Target="https://huggingface.co/docs/transformers/v4.46.3/en/model_doc/llama" TargetMode="External"/><Relationship Id="rId14" Type="http://schemas.openxmlformats.org/officeDocument/2006/relationships/hyperlink" Target="https://arxiv.org/abs/2305.13245" TargetMode="External"/><Relationship Id="rId15" Type="http://schemas.openxmlformats.org/officeDocument/2006/relationships/hyperlink" Target="https://huggingface.co/docs/transformers/main/en/cache_explanation" TargetMode="External"/><Relationship Id="rId16" Type="http://schemas.openxmlformats.org/officeDocument/2006/relationships/hyperlink" Target="https://docs.pytorch.org/docs/stable/notes/randomness.html" TargetMode="External"/><Relationship Id="rId17" Type="http://schemas.openxmlformats.org/officeDocument/2006/relationships/hyperlink" Target="https://arxiv.org/html/1706.03762v7" TargetMode="External"/><Relationship Id="rId18" Type="http://schemas.openxmlformats.org/officeDocument/2006/relationships/hyperlink" Target="https://arxiv.org/abs/2104.09864" TargetMode="External"/><Relationship Id="rId19" Type="http://schemas.openxmlformats.org/officeDocument/2006/relationships/hyperlink" Target="https://arxiv.org/abs/1902.10186" TargetMode="External"/><Relationship Id="rId20" Type="http://schemas.openxmlformats.org/officeDocument/2006/relationships/hyperlink" Target="https://aclanthology.org/D19-1002.pdf" TargetMode="External"/><Relationship Id="rId21" Type="http://schemas.openxmlformats.org/officeDocument/2006/relationships/hyperlink" Target="https://aclanthology.org/P19-1282/" TargetMode="External"/><Relationship Id="rId22" Type="http://schemas.openxmlformats.org/officeDocument/2006/relationships/hyperlink" Target="https://arxiv.org/html/2504.02732v4" TargetMode="External"/><Relationship Id="rId23" Type="http://schemas.openxmlformats.org/officeDocument/2006/relationships/hyperlink" Target="https://arxiv.org/html/2309.17453v4" TargetMode="External"/><Relationship Id="rId24" Type="http://schemas.openxmlformats.org/officeDocument/2006/relationships/hyperlink" Target="https://github.com/AlignmentResearch/tuned-l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 Learning Lab: Changes, Explanations, and Verification</dc:title>
  <dc:subject>SmolLM2 educational application audit and expanded learning guide</dc:subject>
  <dc:creator>OpenAI Codex</dc:creator>
  <cp:keywords>SmolLM2, transformer, attention, verification, learning</cp:keywords>
  <dc:description>generated by python-docx</dc:description>
  <cp:lastModifiedBy/>
  <cp:revision>1</cp:revision>
  <dcterms:created xsi:type="dcterms:W3CDTF">2013-12-23T23:15:00Z</dcterms:created>
  <dcterms:modified xsi:type="dcterms:W3CDTF">2013-12-23T23:15:00Z</dcterms:modified>
  <cp:category/>
</cp:coreProperties>
</file>