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FF97A9" w:val="clear"/>
        <w:spacing w:after="240"/>
      </w:pPr>
      <w:r>
        <w:rPr>
          <w:sz w:val="8"/>
          <w:szCs w:val="8"/>
        </w:rPr>
        <w:t xml:space="preserve"> </w:t>
      </w:r>
    </w:p>
    <w:p>
      <w:pPr>
        <w:spacing w:after="60"/>
      </w:pPr>
      <w:r>
        <w:drawing>
          <wp:inline distT="0" distB="0" distL="0" distR="0">
            <wp:extent cx="22479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47900" cy="628650"/>
                    </a:xfrm>
                    <a:prstGeom prst="rect">
                      <a:avLst/>
                    </a:prstGeom>
                  </pic:spPr>
                </pic:pic>
              </a:graphicData>
            </a:graphic>
          </wp:inline>
        </w:drawing>
      </w:r>
    </w:p>
    <w:p>
      <w:pPr>
        <w:spacing w:after="60"/>
      </w:pPr>
      <w:r>
        <w:rPr>
          <w:rFonts w:ascii="Open Sans" w:cs="Open Sans" w:eastAsia="Open Sans" w:hAnsi="Open Sans"/>
          <w:color w:val="1D1D1B"/>
          <w:sz w:val="17"/>
          <w:szCs w:val="17"/>
        </w:rPr>
        <w:t xml:space="preserve">MMG Global LLC — WBENC Certified Women-Owned</w:t>
      </w:r>
    </w:p>
    <w:p>
      <w:pPr>
        <w:pBdr>
          <w:bottom w:val="single" w:color="1D1D1B" w:sz="18" w:space="4"/>
        </w:pBdr>
        <w:spacing w:after="280"/>
      </w:pPr>
      <w:r>
        <w:rPr>
          <w:rFonts w:ascii="Open Sans" w:cs="Open Sans" w:eastAsia="Open Sans" w:hAnsi="Open Sans"/>
          <w:b/>
          <w:bCs/>
          <w:color w:val="1D1D1B"/>
          <w:sz w:val="18"/>
          <w:szCs w:val="18"/>
        </w:rPr>
        <w:t xml:space="preserve">SALES COMMISSION AGREEMENT — Alternative: Revenue-Based · Jeff Gibbs · Confidential</w:t>
      </w:r>
    </w:p>
    <w:p>
      <w:pPr>
        <w:spacing w:after="100"/>
      </w:pPr>
      <w:r>
        <w:rPr>
          <w:rFonts w:ascii="Source Serif Pro" w:cs="Source Serif Pro" w:eastAsia="Source Serif Pro" w:hAnsi="Source Serif Pro"/>
          <w:b/>
          <w:bCs/>
          <w:color w:val="1D1D1B"/>
          <w:sz w:val="36"/>
          <w:szCs w:val="36"/>
        </w:rPr>
        <w:t xml:space="preserve">Sales Commission Agreement — Alternative: Revenue-Based with Margin Integrity Approval</w:t>
      </w:r>
    </w:p>
    <w:p>
      <w:pPr>
        <w:pBdr>
          <w:left w:val="single" w:color="FF97A9" w:sz="24" w:space="4"/>
        </w:pBdr>
        <w:shd w:fill="FFF9E6" w:val="clear"/>
        <w:spacing w:after="200" w:before="120" w:line="300"/>
        <w:ind w:left="200" w:right="200"/>
      </w:pPr>
      <w:r>
        <w:rPr>
          <w:rFonts w:ascii="Open Sans" w:cs="Open Sans" w:eastAsia="Open Sans" w:hAnsi="Open Sans"/>
          <w:b/>
          <w:bCs/>
          <w:color w:val="1D1D1B"/>
          <w:sz w:val="20"/>
          <w:szCs w:val="20"/>
        </w:rPr>
        <w:t xml:space="preserve">This is an alternative plan design, not a replacement. </w:t>
      </w:r>
      <w:r>
        <w:rPr>
          <w:rFonts w:ascii="Open Sans" w:cs="Open Sans" w:eastAsia="Open Sans" w:hAnsi="Open Sans"/>
          <w:color w:val="1D1D1B"/>
          <w:sz w:val="20"/>
          <w:szCs w:val="20"/>
        </w:rPr>
        <w:t xml:space="preserve">It runs alongside MMG's Commissionable-Gross-Profit (CGP) plan as a separate option under evaluation. The starting rates below (10% / 12% / 15%) are placeholders sized to land close to the CGP plan's blended economics — confirm or adjust before this is finalized.</w:t>
      </w:r>
    </w:p>
    <w:p>
      <w:pPr>
        <w:spacing w:after="160" w:line="300"/>
      </w:pPr>
      <w:r>
        <w:rPr>
          <w:rFonts w:ascii="Open Sans" w:cs="Open Sans" w:eastAsia="Open Sans" w:hAnsi="Open Sans"/>
          <w:color w:val="1D1D1B"/>
          <w:sz w:val="21"/>
          <w:szCs w:val="21"/>
        </w:rPr>
        <w:t xml:space="preserve">This Sales Commission Agreement (this “</w:t>
      </w:r>
      <w:r>
        <w:rPr>
          <w:rFonts w:ascii="Open Sans" w:cs="Open Sans" w:eastAsia="Open Sans" w:hAnsi="Open Sans"/>
          <w:b/>
          <w:bCs/>
          <w:color w:val="1D1D1B"/>
          <w:sz w:val="21"/>
          <w:szCs w:val="21"/>
        </w:rPr>
        <w:t xml:space="preserve">Agreement</w:t>
      </w:r>
      <w:r>
        <w:rPr>
          <w:rFonts w:ascii="Open Sans" w:cs="Open Sans" w:eastAsia="Open Sans" w:hAnsi="Open Sans"/>
          <w:color w:val="1D1D1B"/>
          <w:sz w:val="21"/>
          <w:szCs w:val="21"/>
        </w:rPr>
        <w:t xml:space="preserve">”) is entered into as of ____________________ (the “</w:t>
      </w:r>
      <w:r>
        <w:rPr>
          <w:rFonts w:ascii="Open Sans" w:cs="Open Sans" w:eastAsia="Open Sans" w:hAnsi="Open Sans"/>
          <w:b/>
          <w:bCs/>
          <w:color w:val="1D1D1B"/>
          <w:sz w:val="21"/>
          <w:szCs w:val="21"/>
        </w:rPr>
        <w:t xml:space="preserve">Effective Date</w:t>
      </w:r>
      <w:r>
        <w:rPr>
          <w:rFonts w:ascii="Open Sans" w:cs="Open Sans" w:eastAsia="Open Sans" w:hAnsi="Open Sans"/>
          <w:color w:val="1D1D1B"/>
          <w:sz w:val="21"/>
          <w:szCs w:val="21"/>
        </w:rPr>
        <w:t xml:space="preserve">”), by and between </w:t>
      </w:r>
      <w:r>
        <w:rPr>
          <w:rFonts w:ascii="Open Sans" w:cs="Open Sans" w:eastAsia="Open Sans" w:hAnsi="Open Sans"/>
          <w:b/>
          <w:bCs/>
          <w:color w:val="1D1D1B"/>
          <w:sz w:val="21"/>
          <w:szCs w:val="21"/>
        </w:rPr>
        <w:t xml:space="preserve">MMG Global LLC</w:t>
      </w:r>
      <w:r>
        <w:rPr>
          <w:rFonts w:ascii="Open Sans" w:cs="Open Sans" w:eastAsia="Open Sans" w:hAnsi="Open Sans"/>
          <w:color w:val="1D1D1B"/>
          <w:sz w:val="21"/>
          <w:szCs w:val="21"/>
        </w:rPr>
        <w:t xml:space="preserve">, an Arizona limited liability company d/b/a The Motivated Mind Group, with its principal place of business at 260 S Arizona Ave, Chandler, AZ 85225 (“</w:t>
      </w:r>
      <w:r>
        <w:rPr>
          <w:rFonts w:ascii="Open Sans" w:cs="Open Sans" w:eastAsia="Open Sans" w:hAnsi="Open Sans"/>
          <w:b/>
          <w:bCs/>
          <w:color w:val="1D1D1B"/>
          <w:sz w:val="21"/>
          <w:szCs w:val="21"/>
        </w:rPr>
        <w:t xml:space="preserve">MMG</w:t>
      </w:r>
      <w:r>
        <w:rPr>
          <w:rFonts w:ascii="Open Sans" w:cs="Open Sans" w:eastAsia="Open Sans" w:hAnsi="Open Sans"/>
          <w:color w:val="1D1D1B"/>
          <w:sz w:val="21"/>
          <w:szCs w:val="21"/>
        </w:rPr>
        <w:t xml:space="preserve">” or the “</w:t>
      </w:r>
      <w:r>
        <w:rPr>
          <w:rFonts w:ascii="Open Sans" w:cs="Open Sans" w:eastAsia="Open Sans" w:hAnsi="Open Sans"/>
          <w:b/>
          <w:bCs/>
          <w:color w:val="1D1D1B"/>
          <w:sz w:val="21"/>
          <w:szCs w:val="21"/>
        </w:rPr>
        <w:t xml:space="preserve">Company</w:t>
      </w:r>
      <w:r>
        <w:rPr>
          <w:rFonts w:ascii="Open Sans" w:cs="Open Sans" w:eastAsia="Open Sans" w:hAnsi="Open Sans"/>
          <w:color w:val="1D1D1B"/>
          <w:sz w:val="21"/>
          <w:szCs w:val="21"/>
        </w:rPr>
        <w:t xml:space="preserve">”), and </w:t>
      </w:r>
      <w:r>
        <w:rPr>
          <w:rFonts w:ascii="Open Sans" w:cs="Open Sans" w:eastAsia="Open Sans" w:hAnsi="Open Sans"/>
          <w:b/>
          <w:bCs/>
          <w:color w:val="1D1D1B"/>
          <w:sz w:val="21"/>
          <w:szCs w:val="21"/>
        </w:rPr>
        <w:t xml:space="preserve">Jeff Gibbs</w:t>
      </w:r>
      <w:r>
        <w:rPr>
          <w:rFonts w:ascii="Open Sans" w:cs="Open Sans" w:eastAsia="Open Sans" w:hAnsi="Open Sans"/>
          <w:color w:val="1D1D1B"/>
          <w:sz w:val="21"/>
          <w:szCs w:val="21"/>
        </w:rPr>
        <w:t xml:space="preserve"> (the “</w:t>
      </w:r>
      <w:r>
        <w:rPr>
          <w:rFonts w:ascii="Open Sans" w:cs="Open Sans" w:eastAsia="Open Sans" w:hAnsi="Open Sans"/>
          <w:b/>
          <w:bCs/>
          <w:color w:val="1D1D1B"/>
          <w:sz w:val="21"/>
          <w:szCs w:val="21"/>
        </w:rPr>
        <w:t xml:space="preserve">Sales Representative</w:t>
      </w:r>
      <w:r>
        <w:rPr>
          <w:rFonts w:ascii="Open Sans" w:cs="Open Sans" w:eastAsia="Open Sans" w:hAnsi="Open Sans"/>
          <w:color w:val="1D1D1B"/>
          <w:sz w:val="21"/>
          <w:szCs w:val="21"/>
        </w:rPr>
        <w:t xml:space="preserve">”). MMG and the Sales Representative are each a “</w:t>
      </w:r>
      <w:r>
        <w:rPr>
          <w:rFonts w:ascii="Open Sans" w:cs="Open Sans" w:eastAsia="Open Sans" w:hAnsi="Open Sans"/>
          <w:b/>
          <w:bCs/>
          <w:color w:val="1D1D1B"/>
          <w:sz w:val="21"/>
          <w:szCs w:val="21"/>
        </w:rPr>
        <w:t xml:space="preserve">Party</w:t>
      </w:r>
      <w:r>
        <w:rPr>
          <w:rFonts w:ascii="Open Sans" w:cs="Open Sans" w:eastAsia="Open Sans" w:hAnsi="Open Sans"/>
          <w:color w:val="1D1D1B"/>
          <w:sz w:val="21"/>
          <w:szCs w:val="21"/>
        </w:rPr>
        <w:t xml:space="preserve">” and together the “</w:t>
      </w:r>
      <w:r>
        <w:rPr>
          <w:rFonts w:ascii="Open Sans" w:cs="Open Sans" w:eastAsia="Open Sans" w:hAnsi="Open Sans"/>
          <w:b/>
          <w:bCs/>
          <w:color w:val="1D1D1B"/>
          <w:sz w:val="21"/>
          <w:szCs w:val="21"/>
        </w:rPr>
        <w:t xml:space="preserve">Parties</w:t>
      </w:r>
      <w:r>
        <w:rPr>
          <w:rFonts w:ascii="Open Sans" w:cs="Open Sans" w:eastAsia="Open Sans" w:hAnsi="Open Sans"/>
          <w:color w:val="1D1D1B"/>
          <w:sz w:val="21"/>
          <w:szCs w:val="21"/>
        </w:rPr>
        <w:t xml:space="preserve">.”</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1. Purpose</w:t>
      </w:r>
    </w:p>
    <w:p>
      <w:pPr>
        <w:spacing w:after="160" w:line="300"/>
      </w:pPr>
      <w:r>
        <w:rPr>
          <w:rFonts w:ascii="Open Sans" w:cs="Open Sans" w:eastAsia="Open Sans" w:hAnsi="Open Sans"/>
          <w:color w:val="1D1D1B"/>
          <w:sz w:val="21"/>
          <w:szCs w:val="21"/>
        </w:rPr>
        <w:t xml:space="preserve">This Agreement establishes the terms under which the Sales Representative earns commissions on sales of MMG products and services. Commission is calculated on Approved Contract Value (Revenue), not gross profit — and every quote passes through a Margin Integrity Approval gate before its commission rate is agreed, so pricing discipline is checked at the same moment the commission basis is set.</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2. Definitions</w:t>
      </w:r>
    </w:p>
    <w:p>
      <w:pPr>
        <w:pStyle w:val="ListParagraph"/>
        <w:numPr>
          <w:ilvl w:val="0"/>
          <w:numId w:val="2"/>
        </w:numPr>
        <w:spacing w:after="140" w:line="300"/>
      </w:pPr>
      <w:r>
        <w:rPr>
          <w:rFonts w:ascii="Open Sans" w:cs="Open Sans" w:eastAsia="Open Sans" w:hAnsi="Open Sans"/>
          <w:b/>
          <w:bCs/>
          <w:color w:val="1D1D1B"/>
          <w:sz w:val="21"/>
          <w:szCs w:val="21"/>
        </w:rPr>
        <w:t xml:space="preserve">“Approved Contract Value” </w:t>
      </w:r>
      <w:r>
        <w:rPr>
          <w:rFonts w:ascii="Open Sans" w:cs="Open Sans" w:eastAsia="Open Sans" w:hAnsi="Open Sans"/>
          <w:color w:val="1D1D1B"/>
          <w:sz w:val="21"/>
          <w:szCs w:val="21"/>
        </w:rPr>
        <w:t xml:space="preserve">means the total selling price of a customer engagement as stated in the customer proposal, statement of work, or contract approved by MMG management, as such value may be increased or decreased solely by an approved Change Order.</w:t>
      </w:r>
    </w:p>
    <w:p>
      <w:pPr>
        <w:pStyle w:val="ListParagraph"/>
        <w:numPr>
          <w:ilvl w:val="0"/>
          <w:numId w:val="2"/>
        </w:numPr>
        <w:spacing w:after="140" w:line="300"/>
      </w:pPr>
      <w:r>
        <w:rPr>
          <w:rFonts w:ascii="Open Sans" w:cs="Open Sans" w:eastAsia="Open Sans" w:hAnsi="Open Sans"/>
          <w:b/>
          <w:bCs/>
          <w:color w:val="1D1D1B"/>
          <w:sz w:val="21"/>
          <w:szCs w:val="21"/>
        </w:rPr>
        <w:t xml:space="preserve">“Approved Pricing Worksheet” </w:t>
      </w:r>
      <w:r>
        <w:rPr>
          <w:rFonts w:ascii="Open Sans" w:cs="Open Sans" w:eastAsia="Open Sans" w:hAnsi="Open Sans"/>
          <w:color w:val="1D1D1B"/>
          <w:sz w:val="21"/>
          <w:szCs w:val="21"/>
        </w:rPr>
        <w:t xml:space="preserve">means the internal pricing worksheet prepared by MMG for each proposal before it is sent to the customer, setting out the Approved Contract Value, the Approved Direct Delivery Costs, the resulting Gross Margin %, and the Margin Integrity Approval, all approved in writing before the proposal is sent to the customer.</w:t>
      </w:r>
    </w:p>
    <w:p>
      <w:pPr>
        <w:pStyle w:val="ListParagraph"/>
        <w:numPr>
          <w:ilvl w:val="0"/>
          <w:numId w:val="2"/>
        </w:numPr>
        <w:spacing w:after="140" w:line="300"/>
      </w:pPr>
      <w:r>
        <w:rPr>
          <w:rFonts w:ascii="Open Sans" w:cs="Open Sans" w:eastAsia="Open Sans" w:hAnsi="Open Sans"/>
          <w:b/>
          <w:bCs/>
          <w:color w:val="1D1D1B"/>
          <w:sz w:val="21"/>
          <w:szCs w:val="21"/>
        </w:rPr>
        <w:t xml:space="preserve">“Approved Direct Delivery Costs” </w:t>
      </w:r>
      <w:r>
        <w:rPr>
          <w:rFonts w:ascii="Open Sans" w:cs="Open Sans" w:eastAsia="Open Sans" w:hAnsi="Open Sans"/>
          <w:color w:val="1D1D1B"/>
          <w:sz w:val="21"/>
          <w:szCs w:val="21"/>
        </w:rPr>
        <w:t xml:space="preserve">means, for a given engagement, solely (a) the labor costs of MMG employees specifically budgeted for that engagement, and (b) the labor costs of approved subcontractors and freelancers (including, without limitation, video production, instructional design, animation, and specialized consulting talent) specifically budgeted for that engagement, in each case as identified in the Approved Pricing Worksheet. Approved Direct Delivery Costs expressly </w:t>
      </w:r>
      <w:r>
        <w:rPr>
          <w:rFonts w:ascii="Open Sans" w:cs="Open Sans" w:eastAsia="Open Sans" w:hAnsi="Open Sans"/>
          <w:b/>
          <w:bCs/>
          <w:color w:val="1D1D1B"/>
          <w:sz w:val="21"/>
          <w:szCs w:val="21"/>
        </w:rPr>
        <w:t xml:space="preserve">exclude</w:t>
      </w:r>
      <w:r>
        <w:rPr>
          <w:rFonts w:ascii="Open Sans" w:cs="Open Sans" w:eastAsia="Open Sans" w:hAnsi="Open Sans"/>
          <w:color w:val="1D1D1B"/>
          <w:sz w:val="21"/>
          <w:szCs w:val="21"/>
        </w:rPr>
        <w:t xml:space="preserve"> all company overhead and operating expenses, including without limitation rent, executive salaries, software subscriptions, marketing, general and administrative expenses, and office overhead.</w:t>
      </w:r>
    </w:p>
    <w:p>
      <w:pPr>
        <w:pStyle w:val="ListParagraph"/>
        <w:numPr>
          <w:ilvl w:val="0"/>
          <w:numId w:val="2"/>
        </w:numPr>
        <w:spacing w:after="140" w:line="300"/>
      </w:pPr>
      <w:r>
        <w:rPr>
          <w:rFonts w:ascii="Open Sans" w:cs="Open Sans" w:eastAsia="Open Sans" w:hAnsi="Open Sans"/>
          <w:b/>
          <w:bCs/>
          <w:color w:val="1D1D1B"/>
          <w:sz w:val="21"/>
          <w:szCs w:val="21"/>
        </w:rPr>
        <w:t xml:space="preserve">“Gross Margin %” </w:t>
      </w:r>
      <w:r>
        <w:rPr>
          <w:rFonts w:ascii="Open Sans" w:cs="Open Sans" w:eastAsia="Open Sans" w:hAnsi="Open Sans"/>
          <w:color w:val="1D1D1B"/>
          <w:sz w:val="21"/>
          <w:szCs w:val="21"/>
        </w:rPr>
        <w:t xml:space="preserve">means, for a given engagement, the Approved Contract Value less the Approved Direct Delivery Costs, divided by the Approved Contract Value, expressed as a percentage and shown on the Approved Pricing Worksheet. Gross Margin % is fixed at the quoted figure for commission purposes and is not recalculated based on actual project costs or profitability.</w:t>
      </w:r>
    </w:p>
    <w:p>
      <w:pPr>
        <w:pStyle w:val="ListParagraph"/>
        <w:numPr>
          <w:ilvl w:val="0"/>
          <w:numId w:val="2"/>
        </w:numPr>
        <w:spacing w:after="140" w:line="300"/>
      </w:pPr>
      <w:r>
        <w:rPr>
          <w:rFonts w:ascii="Open Sans" w:cs="Open Sans" w:eastAsia="Open Sans" w:hAnsi="Open Sans"/>
          <w:b/>
          <w:bCs/>
          <w:color w:val="1D1D1B"/>
          <w:sz w:val="21"/>
          <w:szCs w:val="21"/>
        </w:rPr>
        <w:t xml:space="preserve">“Margin Integrity Approval” </w:t>
      </w:r>
      <w:r>
        <w:rPr>
          <w:rFonts w:ascii="Open Sans" w:cs="Open Sans" w:eastAsia="Open Sans" w:hAnsi="Open Sans"/>
          <w:color w:val="1D1D1B"/>
          <w:sz w:val="21"/>
          <w:szCs w:val="21"/>
        </w:rPr>
        <w:t xml:space="preserve">means the written approval of the Gross Margin % shown on the Approved Pricing Worksheet by </w:t>
      </w:r>
      <w:r>
        <w:rPr>
          <w:rFonts w:ascii="Open Sans" w:cs="Open Sans" w:eastAsia="Open Sans" w:hAnsi="Open Sans"/>
          <w:b/>
          <w:bCs/>
          <w:color w:val="1D1D1B"/>
          <w:sz w:val="21"/>
          <w:szCs w:val="21"/>
        </w:rPr>
        <w:t xml:space="preserve">Bill Gusmano</w:t>
      </w:r>
      <w:r>
        <w:rPr>
          <w:rFonts w:ascii="Open Sans" w:cs="Open Sans" w:eastAsia="Open Sans" w:hAnsi="Open Sans"/>
          <w:color w:val="1D1D1B"/>
          <w:sz w:val="21"/>
          <w:szCs w:val="21"/>
        </w:rPr>
        <w:t xml:space="preserve">, or a successor or designee he identifies in writing to the Sales Representative. Margin Integrity Approval must be obtained, and the resulting Commission Rate for that engagement agreed, </w:t>
      </w:r>
      <w:r>
        <w:rPr>
          <w:rFonts w:ascii="Open Sans" w:cs="Open Sans" w:eastAsia="Open Sans" w:hAnsi="Open Sans"/>
          <w:b/>
          <w:bCs/>
          <w:color w:val="1D1D1B"/>
          <w:sz w:val="21"/>
          <w:szCs w:val="21"/>
        </w:rPr>
        <w:t xml:space="preserve">before</w:t>
      </w:r>
      <w:r>
        <w:rPr>
          <w:rFonts w:ascii="Open Sans" w:cs="Open Sans" w:eastAsia="Open Sans" w:hAnsi="Open Sans"/>
          <w:color w:val="1D1D1B"/>
          <w:sz w:val="21"/>
          <w:szCs w:val="21"/>
        </w:rPr>
        <w:t xml:space="preserve"> the proposal is sent to the customer. No commission accrues on any engagement lacking Margin Integrity Approval.</w:t>
      </w:r>
    </w:p>
    <w:p>
      <w:pPr>
        <w:pStyle w:val="ListParagraph"/>
        <w:numPr>
          <w:ilvl w:val="0"/>
          <w:numId w:val="2"/>
        </w:numPr>
        <w:spacing w:after="140" w:line="300"/>
      </w:pPr>
      <w:r>
        <w:rPr>
          <w:rFonts w:ascii="Open Sans" w:cs="Open Sans" w:eastAsia="Open Sans" w:hAnsi="Open Sans"/>
          <w:b/>
          <w:bCs/>
          <w:color w:val="1D1D1B"/>
          <w:sz w:val="21"/>
          <w:szCs w:val="21"/>
        </w:rPr>
        <w:t xml:space="preserve">“Change Order” </w:t>
      </w:r>
      <w:r>
        <w:rPr>
          <w:rFonts w:ascii="Open Sans" w:cs="Open Sans" w:eastAsia="Open Sans" w:hAnsi="Open Sans"/>
          <w:color w:val="1D1D1B"/>
          <w:sz w:val="21"/>
          <w:szCs w:val="21"/>
        </w:rPr>
        <w:t xml:space="preserve">means a written modification to a customer contract, approved by both MMG management and the customer, that increases or decreases the Approved Contract Value. A Change Order that changes the Approved Contract Value or the Approved Direct Delivery Costs requires a revised Approved Pricing Worksheet and a new Margin Integrity Approval, and the Commission Rate is reset accordingly for amounts invoiced on or after the Change Order date.</w:t>
      </w:r>
    </w:p>
    <w:p>
      <w:pPr>
        <w:pStyle w:val="ListParagraph"/>
        <w:numPr>
          <w:ilvl w:val="0"/>
          <w:numId w:val="2"/>
        </w:numPr>
        <w:spacing w:after="140" w:line="300"/>
      </w:pPr>
      <w:r>
        <w:rPr>
          <w:rFonts w:ascii="Open Sans" w:cs="Open Sans" w:eastAsia="Open Sans" w:hAnsi="Open Sans"/>
          <w:b/>
          <w:bCs/>
          <w:color w:val="1D1D1B"/>
          <w:sz w:val="21"/>
          <w:szCs w:val="21"/>
        </w:rPr>
        <w:t xml:space="preserve">“Named and Approved Account” </w:t>
      </w:r>
      <w:r>
        <w:rPr>
          <w:rFonts w:ascii="Open Sans" w:cs="Open Sans" w:eastAsia="Open Sans" w:hAnsi="Open Sans"/>
          <w:color w:val="1D1D1B"/>
          <w:sz w:val="21"/>
          <w:szCs w:val="21"/>
        </w:rPr>
        <w:t xml:space="preserve">means a customer account — or a defined portion of a customer account, such as a specific division, business unit, buying group, or opportunity — that the Sales Representative has requested in writing and that MMG has expressly approved in writing as commissionable for that Sales Representative (recorded in Exhibit B). MMG may grant, deny, scope, condition, or prospectively revoke any such approval in its sole discretion. Approval of a portion of an account does not make any other portion of that account commissionable. Commissions under Section 4 are earned </w:t>
      </w:r>
      <w:r>
        <w:rPr>
          <w:rFonts w:ascii="Open Sans" w:cs="Open Sans" w:eastAsia="Open Sans" w:hAnsi="Open Sans"/>
          <w:b/>
          <w:bCs/>
          <w:color w:val="1D1D1B"/>
          <w:sz w:val="21"/>
          <w:szCs w:val="21"/>
        </w:rPr>
        <w:t xml:space="preserve">only</w:t>
      </w:r>
      <w:r>
        <w:rPr>
          <w:rFonts w:ascii="Open Sans" w:cs="Open Sans" w:eastAsia="Open Sans" w:hAnsi="Open Sans"/>
          <w:color w:val="1D1D1B"/>
          <w:sz w:val="21"/>
          <w:szCs w:val="21"/>
        </w:rPr>
        <w:t xml:space="preserve"> on Named and Approved Account engagements.</w:t>
      </w:r>
    </w:p>
    <w:p>
      <w:pPr>
        <w:pStyle w:val="ListParagraph"/>
        <w:numPr>
          <w:ilvl w:val="0"/>
          <w:numId w:val="2"/>
        </w:numPr>
        <w:spacing w:after="140" w:line="300"/>
      </w:pPr>
      <w:r>
        <w:rPr>
          <w:rFonts w:ascii="Open Sans" w:cs="Open Sans" w:eastAsia="Open Sans" w:hAnsi="Open Sans"/>
          <w:b/>
          <w:bCs/>
          <w:color w:val="1D1D1B"/>
          <w:sz w:val="21"/>
          <w:szCs w:val="21"/>
        </w:rPr>
        <w:t xml:space="preserve">Default — no commission without approval. </w:t>
      </w:r>
      <w:r>
        <w:rPr>
          <w:rFonts w:ascii="Open Sans" w:cs="Open Sans" w:eastAsia="Open Sans" w:hAnsi="Open Sans"/>
          <w:color w:val="1D1D1B"/>
          <w:sz w:val="21"/>
          <w:szCs w:val="21"/>
        </w:rPr>
        <w:t xml:space="preserve">Every account, and every portion of an account, that is not a Named and Approved Account of the Sales Representative is non-commissionable. No designation, writing, or other action by MMG is required to make or keep an account non-commissionable.</w:t>
      </w:r>
    </w:p>
    <w:p>
      <w:pPr>
        <w:pStyle w:val="ListParagraph"/>
        <w:numPr>
          <w:ilvl w:val="0"/>
          <w:numId w:val="2"/>
        </w:numPr>
        <w:spacing w:after="140" w:line="300"/>
      </w:pPr>
      <w:r>
        <w:rPr>
          <w:rFonts w:ascii="Open Sans" w:cs="Open Sans" w:eastAsia="Open Sans" w:hAnsi="Open Sans"/>
          <w:b/>
          <w:bCs/>
          <w:color w:val="1D1D1B"/>
          <w:sz w:val="21"/>
          <w:szCs w:val="21"/>
        </w:rPr>
        <w:t xml:space="preserve">“Plan Year” </w:t>
      </w:r>
      <w:r>
        <w:rPr>
          <w:rFonts w:ascii="Open Sans" w:cs="Open Sans" w:eastAsia="Open Sans" w:hAnsi="Open Sans"/>
          <w:color w:val="1D1D1B"/>
          <w:sz w:val="21"/>
          <w:szCs w:val="21"/>
        </w:rPr>
        <w:t xml:space="preserve">means the calendar year. Cumulative revenue for the tier schedule in Section 4 resets to zero at the start of each Plan Year.</w:t>
      </w:r>
    </w:p>
    <w:p>
      <w:pPr>
        <w:pStyle w:val="ListParagraph"/>
        <w:numPr>
          <w:ilvl w:val="0"/>
          <w:numId w:val="2"/>
        </w:numPr>
        <w:spacing w:after="140" w:line="300"/>
      </w:pPr>
      <w:r>
        <w:rPr>
          <w:rFonts w:ascii="Open Sans" w:cs="Open Sans" w:eastAsia="Open Sans" w:hAnsi="Open Sans"/>
          <w:b/>
          <w:bCs/>
          <w:color w:val="1D1D1B"/>
          <w:sz w:val="21"/>
          <w:szCs w:val="21"/>
        </w:rPr>
        <w:t xml:space="preserve">“Cumulative Named-Account Revenue” </w:t>
      </w:r>
      <w:r>
        <w:rPr>
          <w:rFonts w:ascii="Open Sans" w:cs="Open Sans" w:eastAsia="Open Sans" w:hAnsi="Open Sans"/>
          <w:color w:val="1D1D1B"/>
          <w:sz w:val="21"/>
          <w:szCs w:val="21"/>
        </w:rPr>
        <w:t xml:space="preserve">means the running total of Approved Contract Value of the Sales Representative's Named and Approved Account engagements approved during the Plan Year, measured in the order the Approved Pricing Worksheets are approved.</w:t>
      </w:r>
    </w:p>
    <w:p>
      <w:pPr>
        <w:pStyle w:val="ListParagraph"/>
        <w:numPr>
          <w:ilvl w:val="0"/>
          <w:numId w:val="2"/>
        </w:numPr>
        <w:spacing w:after="140" w:line="300"/>
      </w:pPr>
      <w:r>
        <w:rPr>
          <w:rFonts w:ascii="Open Sans" w:cs="Open Sans" w:eastAsia="Open Sans" w:hAnsi="Open Sans"/>
          <w:b/>
          <w:bCs/>
          <w:color w:val="1D1D1B"/>
          <w:sz w:val="21"/>
          <w:szCs w:val="21"/>
        </w:rPr>
        <w:t xml:space="preserve">“Commission Rate” </w:t>
      </w:r>
      <w:r>
        <w:rPr>
          <w:rFonts w:ascii="Open Sans" w:cs="Open Sans" w:eastAsia="Open Sans" w:hAnsi="Open Sans"/>
          <w:color w:val="1D1D1B"/>
          <w:sz w:val="21"/>
          <w:szCs w:val="21"/>
        </w:rPr>
        <w:t xml:space="preserve">means the tier rate(s) set out in Section 4.2, applied to Approved Contract Value (Revenue) — except that Section 4.4 applies instead for any engagement with a Gross Margin % below 30%.</w:t>
      </w:r>
    </w:p>
    <w:p>
      <w:pPr>
        <w:pStyle w:val="ListParagraph"/>
        <w:numPr>
          <w:ilvl w:val="0"/>
          <w:numId w:val="2"/>
        </w:numPr>
        <w:spacing w:after="140" w:line="300"/>
      </w:pPr>
      <w:r>
        <w:rPr>
          <w:rFonts w:ascii="Open Sans" w:cs="Open Sans" w:eastAsia="Open Sans" w:hAnsi="Open Sans"/>
          <w:b/>
          <w:bCs/>
          <w:color w:val="1D1D1B"/>
          <w:sz w:val="21"/>
          <w:szCs w:val="21"/>
        </w:rPr>
        <w:t xml:space="preserve">“Net Customer Payment” </w:t>
      </w:r>
      <w:r>
        <w:rPr>
          <w:rFonts w:ascii="Open Sans" w:cs="Open Sans" w:eastAsia="Open Sans" w:hAnsi="Open Sans"/>
          <w:color w:val="1D1D1B"/>
          <w:sz w:val="21"/>
          <w:szCs w:val="21"/>
        </w:rPr>
        <w:t xml:space="preserve">means amounts actually received by MMG from the customer, net of refunds, credits, and chargebacks.</w:t>
      </w:r>
    </w:p>
    <w:p>
      <w:pPr>
        <w:pBdr>
          <w:left w:val="single" w:color="FF97A9" w:sz="24" w:space="4"/>
        </w:pBdr>
        <w:shd w:fill="FFF0F3" w:val="clear"/>
        <w:spacing w:after="200" w:before="120" w:line="300"/>
        <w:ind w:left="200" w:right="200"/>
      </w:pPr>
      <w:r>
        <w:rPr>
          <w:rFonts w:ascii="Open Sans" w:cs="Open Sans" w:eastAsia="Open Sans" w:hAnsi="Open Sans"/>
          <w:b/>
          <w:bCs/>
          <w:color w:val="1D1D1B"/>
          <w:sz w:val="20"/>
          <w:szCs w:val="20"/>
        </w:rPr>
        <w:t xml:space="preserve">Plain-language summary (not a substitute for the terms above): </w:t>
      </w:r>
      <w:r>
        <w:rPr>
          <w:rFonts w:ascii="Open Sans" w:cs="Open Sans" w:eastAsia="Open Sans" w:hAnsi="Open Sans"/>
          <w:color w:val="1D1D1B"/>
          <w:sz w:val="20"/>
          <w:szCs w:val="20"/>
        </w:rPr>
        <w:t xml:space="preserve">Commission is a percentage of the deal's revenue, not its profit. Before any quote goes to the customer, Bill reviews the quoted margin and signs off — that Margin Integrity Approval is what locks in the commission rate. If the quoted margin comes in under 30%, commission switches to a straight 60/40 split of the actual Gross Profit instead (MMG 60%, Sales Representative 40%) — see Section 4.4. Once approved, none of this changes based on how the project actually performs.</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3. Illustrative Example</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c>
          <w:tcPr>
            <w:tcW w:type="dxa" w:w="40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Item</w:t>
            </w:r>
          </w:p>
        </w:tc>
        <w:tc>
          <w:tcPr>
            <w:tcW w:type="dxa" w:w="40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Amount</w:t>
            </w:r>
          </w:p>
        </w:tc>
      </w:tr>
      <w:tr>
        <w:tc>
          <w:tcPr>
            <w:tcW w:type="dxa" w:w="40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Contract Value (Sales Price)</w:t>
            </w:r>
          </w:p>
        </w:tc>
        <w:tc>
          <w:tcPr>
            <w:tcW w:type="dxa" w:w="40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$100,000</w:t>
            </w:r>
          </w:p>
        </w:tc>
      </w:tr>
      <w:tr>
        <w:tc>
          <w:tcPr>
            <w:tcW w:type="dxa" w:w="40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Direct Delivery Costs</w:t>
            </w:r>
          </w:p>
        </w:tc>
        <w:tc>
          <w:tcPr>
            <w:tcW w:type="dxa" w:w="40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$55,000</w:t>
            </w:r>
          </w:p>
        </w:tc>
      </w:tr>
      <w:tr>
        <w:tc>
          <w:tcPr>
            <w:tcW w:type="dxa" w:w="40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Gross Margin %</w:t>
            </w:r>
          </w:p>
        </w:tc>
        <w:tc>
          <w:tcPr>
            <w:tcW w:type="dxa" w:w="40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45%</w:t>
            </w:r>
          </w:p>
        </w:tc>
      </w:tr>
      <w:tr>
        <w:tc>
          <w:tcPr>
            <w:tcW w:type="dxa" w:w="40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Commission (Tier 1 rate, first $250K)</w:t>
            </w:r>
          </w:p>
        </w:tc>
        <w:tc>
          <w:tcPr>
            <w:tcW w:type="dxa" w:w="40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10% × $100,000 = $10,000</w:t>
            </w:r>
          </w:p>
        </w:tc>
      </w:tr>
    </w:tbl>
    <w:p>
      <w:pPr>
        <w:spacing w:after="160" w:line="300"/>
      </w:pPr>
      <w:r>
        <w:rPr>
          <w:rFonts w:ascii="Open Sans" w:cs="Open Sans" w:eastAsia="Open Sans" w:hAnsi="Open Sans"/>
          <w:color w:val="1D1D1B"/>
          <w:sz w:val="21"/>
          <w:szCs w:val="21"/>
        </w:rPr>
        <w:t xml:space="preserve">Whether the project later runs over or under budget, the commission is fixed at the amount set when Margin Integrity Approval was granted. See Section 4.4 for how a thin-margin quote (below 30%) is handled instead.</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4. Commission Plan — Named and Approved Accounts</w:t>
      </w:r>
    </w:p>
    <w:p>
      <w:pPr>
        <w:pStyle w:val="ListParagraph"/>
        <w:numPr>
          <w:ilvl w:val="0"/>
          <w:numId w:val="3"/>
        </w:numPr>
        <w:spacing w:after="140" w:line="300"/>
      </w:pPr>
      <w:r>
        <w:rPr>
          <w:rFonts w:ascii="Open Sans" w:cs="Open Sans" w:eastAsia="Open Sans" w:hAnsi="Open Sans"/>
          <w:b/>
          <w:bCs/>
          <w:color w:val="1D1D1B"/>
          <w:sz w:val="21"/>
          <w:szCs w:val="21"/>
        </w:rPr>
        <w:t xml:space="preserve">Scope — approval required. </w:t>
      </w:r>
      <w:r>
        <w:rPr>
          <w:rFonts w:ascii="Open Sans" w:cs="Open Sans" w:eastAsia="Open Sans" w:hAnsi="Open Sans"/>
          <w:color w:val="1D1D1B"/>
          <w:sz w:val="21"/>
          <w:szCs w:val="21"/>
        </w:rPr>
        <w:t xml:space="preserve">Commissions are earned only on Named and Approved Account engagements sold by the Sales Representative and accepted by MMG. The Sales Representative must request account approval in writing before pursuing commissionable business; MMG may approve, deny, or scope the request (including limiting approval to a specific division, business unit, buying group, or opportunity within a larger account) in its sole discretion. All other business is non-commissionable by default.</w:t>
      </w:r>
    </w:p>
    <w:p>
      <w:pPr>
        <w:pStyle w:val="ListParagraph"/>
        <w:numPr>
          <w:ilvl w:val="0"/>
          <w:numId w:val="3"/>
        </w:numPr>
        <w:spacing w:after="140" w:line="300"/>
      </w:pPr>
      <w:r>
        <w:rPr>
          <w:rFonts w:ascii="Open Sans" w:cs="Open Sans" w:eastAsia="Open Sans" w:hAnsi="Open Sans"/>
          <w:b/>
          <w:bCs/>
          <w:color w:val="1D1D1B"/>
          <w:sz w:val="21"/>
          <w:szCs w:val="21"/>
        </w:rPr>
        <w:t xml:space="preserve">Standard revenue tier schedule. </w:t>
      </w:r>
      <w:r>
        <w:rPr>
          <w:rFonts w:ascii="Open Sans" w:cs="Open Sans" w:eastAsia="Open Sans" w:hAnsi="Open Sans"/>
          <w:color w:val="1D1D1B"/>
          <w:sz w:val="21"/>
          <w:szCs w:val="21"/>
        </w:rPr>
        <w:t xml:space="preserve">The Commission Rate is a percentage of Approved Contract Value (Revenue), stepping up with Cumulative Named-Account Revenue during the Plan Year. Rates are incremental (marginal): each rate applies only to the revenue falling within that band — crossing a threshold does not retroactively change the rate on earlier revenue. If a single engagement spans a threshold, its Approved Contract Value is apportioned pro-rata between the bands.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00"/>
        <w:gridCol w:w="3060"/>
      </w:tblGrid>
      <w:tr>
        <w:tc>
          <w:tcPr>
            <w:tcW w:type="dxa" w:w="9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Tier</w:t>
            </w:r>
          </w:p>
        </w:tc>
        <w:tc>
          <w:tcPr>
            <w:tcW w:type="dxa" w:w="54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Cumulative Named-Account Revenue (Plan Year)</w:t>
            </w:r>
          </w:p>
        </w:tc>
        <w:tc>
          <w:tcPr>
            <w:tcW w:type="dxa" w:w="30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Standard Commission Rate (% of Revenue)</w:t>
            </w:r>
          </w:p>
        </w:tc>
      </w:tr>
      <w:tr>
        <w:tc>
          <w:tcPr>
            <w:tcW w:type="dxa" w:w="9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w:t>
            </w:r>
          </w:p>
        </w:tc>
        <w:tc>
          <w:tcPr>
            <w:tcW w:type="dxa" w:w="54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First $250,000</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10%</w:t>
            </w:r>
          </w:p>
        </w:tc>
      </w:tr>
      <w:tr>
        <w:tc>
          <w:tcPr>
            <w:tcW w:type="dxa" w:w="9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2</w:t>
            </w:r>
          </w:p>
        </w:tc>
        <w:tc>
          <w:tcPr>
            <w:tcW w:type="dxa" w:w="54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Over $250,000 up to $500,000</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12%</w:t>
            </w:r>
          </w:p>
        </w:tc>
      </w:tr>
      <w:tr>
        <w:tc>
          <w:tcPr>
            <w:tcW w:type="dxa" w:w="9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3</w:t>
            </w:r>
          </w:p>
        </w:tc>
        <w:tc>
          <w:tcPr>
            <w:tcW w:type="dxa" w:w="54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Over $500,000</w:t>
            </w:r>
          </w:p>
        </w:tc>
        <w:tc>
          <w:tcPr>
            <w:tcW w:type="dxa" w:w="306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15% (cap)</w:t>
            </w:r>
          </w:p>
        </w:tc>
      </w:tr>
    </w:tbl>
    <w:p>
      <w:pPr>
        <w:pStyle w:val="ListParagraph"/>
        <w:numPr>
          <w:ilvl w:val="0"/>
          <w:numId w:val="3"/>
        </w:numPr>
        <w:spacing w:after="140" w:line="300"/>
      </w:pPr>
      <w:r>
        <w:rPr>
          <w:rFonts w:ascii="Open Sans" w:cs="Open Sans" w:eastAsia="Open Sans" w:hAnsi="Open Sans"/>
          <w:b/>
          <w:bCs/>
          <w:color w:val="1D1D1B"/>
          <w:sz w:val="21"/>
          <w:szCs w:val="21"/>
        </w:rPr>
        <w:t xml:space="preserve">Margin Integrity Approval — required on every quote, before the rate is agreed. </w:t>
      </w:r>
      <w:r>
        <w:rPr>
          <w:rFonts w:ascii="Open Sans" w:cs="Open Sans" w:eastAsia="Open Sans" w:hAnsi="Open Sans"/>
          <w:color w:val="1D1D1B"/>
          <w:sz w:val="21"/>
          <w:szCs w:val="21"/>
        </w:rPr>
        <w:t xml:space="preserve">Before any customer proposal is sent and before a Commission Rate is agreed for that engagement, Bill Gusmano (or his written designee) must review the Gross Margin % shown on the Approved Pricing Worksheet and grant Margin Integrity Approval in writing. No commission accrues on an engagement lacking Margin Integrity Approval.</w:t>
      </w:r>
    </w:p>
    <w:p>
      <w:pPr>
        <w:pStyle w:val="ListParagraph"/>
        <w:numPr>
          <w:ilvl w:val="0"/>
          <w:numId w:val="3"/>
        </w:numPr>
        <w:spacing w:after="140" w:line="300"/>
      </w:pPr>
      <w:r>
        <w:rPr>
          <w:rFonts w:ascii="Open Sans" w:cs="Open Sans" w:eastAsia="Open Sans" w:hAnsi="Open Sans"/>
          <w:b/>
          <w:bCs/>
          <w:color w:val="1D1D1B"/>
          <w:sz w:val="21"/>
          <w:szCs w:val="21"/>
        </w:rPr>
        <w:t xml:space="preserve">Margin protection below 30%. </w:t>
      </w:r>
      <w:r>
        <w:rPr>
          <w:rFonts w:ascii="Open Sans" w:cs="Open Sans" w:eastAsia="Open Sans" w:hAnsi="Open Sans"/>
          <w:color w:val="1D1D1B"/>
          <w:sz w:val="21"/>
          <w:szCs w:val="21"/>
        </w:rPr>
        <w:t xml:space="preserve">If the Gross Margin % shown on the Approved Pricing Worksheet is below 30%, this engagement is commissioned on Gross Profit instead of Revenue, split 60/40 between MMG and the Sales Representative: commission = 40% of the engagement's Gross Profit (Approved Contract Value less Approved Direct Delivery Costs), with MMG retaining the remaining 60%. For example, a $100,000 quote at 25% Gross Margin has Gross Profit of $25,000, so commission is 40% × $25,000 = $10,000. This scales automatically with how thin the margin is — it is not a flat penalty — and applies only to that engagement; it does not change the Sales Representative's tier position under Section 4.2 for other engagements.</w:t>
      </w:r>
    </w:p>
    <w:p>
      <w:pPr>
        <w:pStyle w:val="ListParagraph"/>
        <w:numPr>
          <w:ilvl w:val="0"/>
          <w:numId w:val="3"/>
        </w:numPr>
        <w:spacing w:after="140" w:line="300"/>
      </w:pPr>
      <w:r>
        <w:rPr>
          <w:rFonts w:ascii="Open Sans" w:cs="Open Sans" w:eastAsia="Open Sans" w:hAnsi="Open Sans"/>
          <w:color w:val="1D1D1B"/>
          <w:sz w:val="21"/>
          <w:szCs w:val="21"/>
        </w:rPr>
        <w:t xml:space="preserve">The applicable Commission Rate or Gross Profit split for an engagement is fixed at Margin Integrity Approval, based on the Gross Margin % and Cumulative Named-Account Revenue at that time, and is stated on the Approved Pricing Worksheet.</w:t>
      </w:r>
    </w:p>
    <w:p>
      <w:pPr>
        <w:pStyle w:val="ListParagraph"/>
        <w:numPr>
          <w:ilvl w:val="0"/>
          <w:numId w:val="3"/>
        </w:numPr>
        <w:spacing w:after="140" w:line="300"/>
      </w:pPr>
      <w:r>
        <w:rPr>
          <w:rFonts w:ascii="Open Sans" w:cs="Open Sans" w:eastAsia="Open Sans" w:hAnsi="Open Sans"/>
          <w:color w:val="1D1D1B"/>
          <w:sz w:val="21"/>
          <w:szCs w:val="21"/>
        </w:rPr>
        <w:t xml:space="preserve">No commission accrues on any proposal that lacks both an Approved Pricing Worksheet and Margin Integrity Approval. MMG will prepare a pricing worksheet, and obtain Margin Integrity Approval, for every proposal before it is sent to the customer.</w:t>
      </w:r>
    </w:p>
    <w:p>
      <w:pPr>
        <w:pStyle w:val="ListParagraph"/>
        <w:numPr>
          <w:ilvl w:val="0"/>
          <w:numId w:val="3"/>
        </w:numPr>
        <w:spacing w:after="140" w:line="300"/>
      </w:pPr>
      <w:r>
        <w:rPr>
          <w:rFonts w:ascii="Open Sans" w:cs="Open Sans" w:eastAsia="Open Sans" w:hAnsi="Open Sans"/>
          <w:color w:val="1D1D1B"/>
          <w:sz w:val="21"/>
          <w:szCs w:val="21"/>
        </w:rPr>
        <w:t xml:space="preserve">Actual project profitability — favorable or unfavorable — has no effect on commissions once Margin Integrity Approval is granted. Cost overruns, scope creep absorbed without a Change Order, staffing decisions, vendor changes, internal inefficiencies, and write-offs neither reduce nor increase the commission basis.</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5. Earning, Payment, and Adjustments</w:t>
      </w:r>
    </w:p>
    <w:p>
      <w:pPr>
        <w:pStyle w:val="ListParagraph"/>
        <w:numPr>
          <w:ilvl w:val="0"/>
          <w:numId w:val="4"/>
        </w:numPr>
        <w:spacing w:after="140" w:line="300"/>
      </w:pPr>
      <w:r>
        <w:rPr>
          <w:rFonts w:ascii="Open Sans" w:cs="Open Sans" w:eastAsia="Open Sans" w:hAnsi="Open Sans"/>
          <w:b/>
          <w:bCs/>
          <w:color w:val="1D1D1B"/>
          <w:sz w:val="21"/>
          <w:szCs w:val="21"/>
        </w:rPr>
        <w:t xml:space="preserve">When earned. </w:t>
      </w:r>
      <w:r>
        <w:rPr>
          <w:rFonts w:ascii="Open Sans" w:cs="Open Sans" w:eastAsia="Open Sans" w:hAnsi="Open Sans"/>
          <w:color w:val="1D1D1B"/>
          <w:sz w:val="21"/>
          <w:szCs w:val="21"/>
        </w:rPr>
        <w:t xml:space="preserve">Commission on an engagement is earned proportionally as Net Customer Payments are received by MMG, in the ratio that each Net Customer Payment bears to the Approved Contract Value.</w:t>
      </w:r>
    </w:p>
    <w:p>
      <w:pPr>
        <w:pStyle w:val="ListParagraph"/>
        <w:numPr>
          <w:ilvl w:val="0"/>
          <w:numId w:val="4"/>
        </w:numPr>
        <w:spacing w:after="140" w:line="300"/>
      </w:pPr>
      <w:r>
        <w:rPr>
          <w:rFonts w:ascii="Open Sans" w:cs="Open Sans" w:eastAsia="Open Sans" w:hAnsi="Open Sans"/>
          <w:b/>
          <w:bCs/>
          <w:color w:val="1D1D1B"/>
          <w:sz w:val="21"/>
          <w:szCs w:val="21"/>
        </w:rPr>
        <w:t xml:space="preserve">When paid. </w:t>
      </w:r>
      <w:r>
        <w:rPr>
          <w:rFonts w:ascii="Open Sans" w:cs="Open Sans" w:eastAsia="Open Sans" w:hAnsi="Open Sans"/>
          <w:color w:val="1D1D1B"/>
          <w:sz w:val="21"/>
          <w:szCs w:val="21"/>
        </w:rPr>
        <w:t xml:space="preserve">Earned commissions are paid no later than the last day of the calendar month following the month in which the corresponding Net Customer Payment is received.</w:t>
      </w:r>
    </w:p>
    <w:p>
      <w:pPr>
        <w:pStyle w:val="ListParagraph"/>
        <w:numPr>
          <w:ilvl w:val="0"/>
          <w:numId w:val="4"/>
        </w:numPr>
        <w:spacing w:after="140" w:line="300"/>
      </w:pPr>
      <w:r>
        <w:rPr>
          <w:rFonts w:ascii="Open Sans" w:cs="Open Sans" w:eastAsia="Open Sans" w:hAnsi="Open Sans"/>
          <w:b/>
          <w:bCs/>
          <w:color w:val="1D1D1B"/>
          <w:sz w:val="21"/>
          <w:szCs w:val="21"/>
        </w:rPr>
        <w:t xml:space="preserve">Non-payment by customer. </w:t>
      </w:r>
      <w:r>
        <w:rPr>
          <w:rFonts w:ascii="Open Sans" w:cs="Open Sans" w:eastAsia="Open Sans" w:hAnsi="Open Sans"/>
          <w:color w:val="1D1D1B"/>
          <w:sz w:val="21"/>
          <w:szCs w:val="21"/>
        </w:rPr>
        <w:t xml:space="preserve">If a customer fails to pay, commission is due only on amounts actually received. Commissions previously advanced on amounts later refunded or charged back will be offset against future commission payments.</w:t>
      </w:r>
    </w:p>
    <w:p>
      <w:pPr>
        <w:pStyle w:val="ListParagraph"/>
        <w:numPr>
          <w:ilvl w:val="0"/>
          <w:numId w:val="4"/>
        </w:numPr>
        <w:spacing w:after="140" w:line="300"/>
      </w:pPr>
      <w:r>
        <w:rPr>
          <w:rFonts w:ascii="Open Sans" w:cs="Open Sans" w:eastAsia="Open Sans" w:hAnsi="Open Sans"/>
          <w:b/>
          <w:bCs/>
          <w:color w:val="1D1D1B"/>
          <w:sz w:val="21"/>
          <w:szCs w:val="21"/>
        </w:rPr>
        <w:t xml:space="preserve">Change Orders. </w:t>
      </w:r>
      <w:r>
        <w:rPr>
          <w:rFonts w:ascii="Open Sans" w:cs="Open Sans" w:eastAsia="Open Sans" w:hAnsi="Open Sans"/>
          <w:color w:val="1D1D1B"/>
          <w:sz w:val="21"/>
          <w:szCs w:val="21"/>
        </w:rPr>
        <w:t xml:space="preserve">If a Change Order changes the Approved Contract Value or Approved Direct Delivery Costs, a revised Approved Pricing Worksheet and a new Margin Integrity Approval are required, and the Commission Rate is recalculated and applied prospectively.</w:t>
      </w:r>
    </w:p>
    <w:p>
      <w:pPr>
        <w:pStyle w:val="ListParagraph"/>
        <w:numPr>
          <w:ilvl w:val="0"/>
          <w:numId w:val="4"/>
        </w:numPr>
        <w:spacing w:after="140" w:line="300"/>
      </w:pPr>
      <w:r>
        <w:rPr>
          <w:rFonts w:ascii="Open Sans" w:cs="Open Sans" w:eastAsia="Open Sans" w:hAnsi="Open Sans"/>
          <w:b/>
          <w:bCs/>
          <w:color w:val="1D1D1B"/>
          <w:sz w:val="21"/>
          <w:szCs w:val="21"/>
        </w:rPr>
        <w:t xml:space="preserve">Splits. </w:t>
      </w:r>
      <w:r>
        <w:rPr>
          <w:rFonts w:ascii="Open Sans" w:cs="Open Sans" w:eastAsia="Open Sans" w:hAnsi="Open Sans"/>
          <w:color w:val="1D1D1B"/>
          <w:sz w:val="21"/>
          <w:szCs w:val="21"/>
        </w:rPr>
        <w:t xml:space="preserve">Any commission splits between representatives on a Named and Approved Account will be documented in a written schedule approved by MMG management before Margin Integrity Approval.</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6. Termination</w:t>
      </w:r>
    </w:p>
    <w:p>
      <w:pPr>
        <w:pStyle w:val="ListParagraph"/>
        <w:numPr>
          <w:ilvl w:val="0"/>
          <w:numId w:val="5"/>
        </w:numPr>
        <w:spacing w:after="140" w:line="300"/>
      </w:pPr>
      <w:r>
        <w:rPr>
          <w:rFonts w:ascii="Open Sans" w:cs="Open Sans" w:eastAsia="Open Sans" w:hAnsi="Open Sans"/>
          <w:color w:val="1D1D1B"/>
          <w:sz w:val="21"/>
          <w:szCs w:val="21"/>
        </w:rPr>
        <w:t xml:space="preserve">Either Party may terminate this Agreement at any time, with or without cause, upon written notice.</w:t>
      </w:r>
    </w:p>
    <w:p>
      <w:pPr>
        <w:pStyle w:val="ListParagraph"/>
        <w:numPr>
          <w:ilvl w:val="0"/>
          <w:numId w:val="5"/>
        </w:numPr>
        <w:spacing w:after="140" w:line="300"/>
      </w:pPr>
      <w:r>
        <w:rPr>
          <w:rFonts w:ascii="Open Sans" w:cs="Open Sans" w:eastAsia="Open Sans" w:hAnsi="Open Sans"/>
          <w:color w:val="1D1D1B"/>
          <w:sz w:val="21"/>
          <w:szCs w:val="21"/>
        </w:rPr>
        <w:t xml:space="preserve">Following termination, the Sales Representative remains entitled to commissions on engagements with an Approved Pricing Worksheet and Margin Integrity Approval dated before the termination date, to the extent Net Customer Payments on those engagements are received by MMG within ninety (90) days after the termination date. No commissions are due on payments received after that period or on engagements approved after the termination date.</w:t>
      </w:r>
    </w:p>
    <w:p>
      <w:pPr>
        <w:pStyle w:val="ListParagraph"/>
        <w:numPr>
          <w:ilvl w:val="0"/>
          <w:numId w:val="5"/>
        </w:numPr>
        <w:spacing w:after="140" w:line="300"/>
      </w:pPr>
      <w:r>
        <w:rPr>
          <w:rFonts w:ascii="Open Sans" w:cs="Open Sans" w:eastAsia="Open Sans" w:hAnsi="Open Sans"/>
          <w:color w:val="1D1D1B"/>
          <w:sz w:val="21"/>
          <w:szCs w:val="21"/>
        </w:rPr>
        <w:t xml:space="preserve">Nothing in this Agreement modifies the at-will nature of any employment relationship or creates an obligation of continued engagement.</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7. Records and Dispute Resolution</w:t>
      </w:r>
    </w:p>
    <w:p>
      <w:pPr>
        <w:pStyle w:val="ListParagraph"/>
        <w:numPr>
          <w:ilvl w:val="0"/>
          <w:numId w:val="6"/>
        </w:numPr>
        <w:spacing w:after="140" w:line="300"/>
      </w:pPr>
      <w:r>
        <w:rPr>
          <w:rFonts w:ascii="Open Sans" w:cs="Open Sans" w:eastAsia="Open Sans" w:hAnsi="Open Sans"/>
          <w:color w:val="1D1D1B"/>
          <w:sz w:val="21"/>
          <w:szCs w:val="21"/>
        </w:rPr>
        <w:t xml:space="preserve">The Approved Pricing Worksheet, including the Margin Integrity Approval, is the conclusive record of the commission basis for each engagement. MMG will provide the Sales Representative a copy of each Approved Pricing Worksheet at or before Margin Integrity Approval.</w:t>
      </w:r>
    </w:p>
    <w:p>
      <w:pPr>
        <w:pStyle w:val="ListParagraph"/>
        <w:numPr>
          <w:ilvl w:val="0"/>
          <w:numId w:val="6"/>
        </w:numPr>
        <w:spacing w:after="140" w:line="300"/>
      </w:pPr>
      <w:r>
        <w:rPr>
          <w:rFonts w:ascii="Open Sans" w:cs="Open Sans" w:eastAsia="Open Sans" w:hAnsi="Open Sans"/>
          <w:color w:val="1D1D1B"/>
          <w:sz w:val="21"/>
          <w:szCs w:val="21"/>
        </w:rPr>
        <w:t xml:space="preserve">Commission statements will accompany each commission payment. The Sales Representative must raise any dispute in writing within sixty (60) days of the statement date; statements not disputed within that period are deemed accepted.</w:t>
      </w:r>
    </w:p>
    <w:p>
      <w:pPr>
        <w:pStyle w:val="ListParagraph"/>
        <w:numPr>
          <w:ilvl w:val="0"/>
          <w:numId w:val="6"/>
        </w:numPr>
        <w:spacing w:after="140" w:line="300"/>
      </w:pPr>
      <w:r>
        <w:rPr>
          <w:rFonts w:ascii="Open Sans" w:cs="Open Sans" w:eastAsia="Open Sans" w:hAnsi="Open Sans"/>
          <w:color w:val="1D1D1B"/>
          <w:sz w:val="21"/>
          <w:szCs w:val="21"/>
        </w:rPr>
        <w:t xml:space="preserve">The Parties will first attempt in good faith to resolve any dispute through direct negotiation between the Sales Representative and MMG's CEO or designee.</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8. Confidentiality</w:t>
      </w:r>
    </w:p>
    <w:p>
      <w:pPr>
        <w:spacing w:after="160" w:line="300"/>
      </w:pPr>
      <w:r>
        <w:rPr>
          <w:rFonts w:ascii="Open Sans" w:cs="Open Sans" w:eastAsia="Open Sans" w:hAnsi="Open Sans"/>
          <w:color w:val="1D1D1B"/>
          <w:sz w:val="21"/>
          <w:szCs w:val="21"/>
        </w:rPr>
        <w:t xml:space="preserve">The Sales Representative shall keep confidential all non-public MMG information, including pricing worksheets, cost structures, margin data, commission terms, customer lists, and deal terms, both during and after the term of this Agreement, and shall use such information solely to perform under this Agreement.</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9. General Provisions</w:t>
      </w:r>
    </w:p>
    <w:p>
      <w:pPr>
        <w:pStyle w:val="ListParagraph"/>
        <w:numPr>
          <w:ilvl w:val="0"/>
          <w:numId w:val="7"/>
        </w:numPr>
        <w:spacing w:after="140" w:line="300"/>
      </w:pPr>
      <w:r>
        <w:rPr>
          <w:rFonts w:ascii="Open Sans" w:cs="Open Sans" w:eastAsia="Open Sans" w:hAnsi="Open Sans"/>
          <w:b/>
          <w:bCs/>
          <w:color w:val="1D1D1B"/>
          <w:sz w:val="21"/>
          <w:szCs w:val="21"/>
        </w:rPr>
        <w:t xml:space="preserve">Governing law. </w:t>
      </w:r>
      <w:r>
        <w:rPr>
          <w:rFonts w:ascii="Open Sans" w:cs="Open Sans" w:eastAsia="Open Sans" w:hAnsi="Open Sans"/>
          <w:color w:val="1D1D1B"/>
          <w:sz w:val="21"/>
          <w:szCs w:val="21"/>
        </w:rPr>
        <w:t xml:space="preserve">This Agreement is governed by the laws of the State of Arizona, without regard to conflict-of-laws principles. Venue for any action lies in the state or federal courts located in Maricopa County, Arizona.</w:t>
      </w:r>
    </w:p>
    <w:p>
      <w:pPr>
        <w:pStyle w:val="ListParagraph"/>
        <w:numPr>
          <w:ilvl w:val="0"/>
          <w:numId w:val="7"/>
        </w:numPr>
        <w:spacing w:after="140" w:line="300"/>
      </w:pPr>
      <w:r>
        <w:rPr>
          <w:rFonts w:ascii="Open Sans" w:cs="Open Sans" w:eastAsia="Open Sans" w:hAnsi="Open Sans"/>
          <w:b/>
          <w:bCs/>
          <w:color w:val="1D1D1B"/>
          <w:sz w:val="21"/>
          <w:szCs w:val="21"/>
        </w:rPr>
        <w:t xml:space="preserve">Entire agreement. </w:t>
      </w:r>
      <w:r>
        <w:rPr>
          <w:rFonts w:ascii="Open Sans" w:cs="Open Sans" w:eastAsia="Open Sans" w:hAnsi="Open Sans"/>
          <w:color w:val="1D1D1B"/>
          <w:sz w:val="21"/>
          <w:szCs w:val="21"/>
        </w:rPr>
        <w:t xml:space="preserve">This Agreement, together with any written schedules and Approved Pricing Worksheets referenced herein, is the entire agreement of the Parties regarding sales commissions and supersedes all prior oral or written commission arrangements.</w:t>
      </w:r>
    </w:p>
    <w:p>
      <w:pPr>
        <w:pStyle w:val="ListParagraph"/>
        <w:numPr>
          <w:ilvl w:val="0"/>
          <w:numId w:val="7"/>
        </w:numPr>
        <w:spacing w:after="140" w:line="300"/>
      </w:pPr>
      <w:r>
        <w:rPr>
          <w:rFonts w:ascii="Open Sans" w:cs="Open Sans" w:eastAsia="Open Sans" w:hAnsi="Open Sans"/>
          <w:b/>
          <w:bCs/>
          <w:color w:val="1D1D1B"/>
          <w:sz w:val="21"/>
          <w:szCs w:val="21"/>
        </w:rPr>
        <w:t xml:space="preserve">Amendment. </w:t>
      </w:r>
      <w:r>
        <w:rPr>
          <w:rFonts w:ascii="Open Sans" w:cs="Open Sans" w:eastAsia="Open Sans" w:hAnsi="Open Sans"/>
          <w:color w:val="1D1D1B"/>
          <w:sz w:val="21"/>
          <w:szCs w:val="21"/>
        </w:rPr>
        <w:t xml:space="preserve">This Agreement may be amended only in a writing signed by both Parties. MMG may amend the Commission Rate schedules or the 30% Gross Margin % threshold prospectively for future engagements upon thirty (30) days' written notice.</w:t>
      </w:r>
    </w:p>
    <w:p>
      <w:pPr>
        <w:pStyle w:val="ListParagraph"/>
        <w:numPr>
          <w:ilvl w:val="0"/>
          <w:numId w:val="7"/>
        </w:numPr>
        <w:spacing w:after="140" w:line="300"/>
      </w:pPr>
      <w:r>
        <w:rPr>
          <w:rFonts w:ascii="Open Sans" w:cs="Open Sans" w:eastAsia="Open Sans" w:hAnsi="Open Sans"/>
          <w:b/>
          <w:bCs/>
          <w:color w:val="1D1D1B"/>
          <w:sz w:val="21"/>
          <w:szCs w:val="21"/>
        </w:rPr>
        <w:t xml:space="preserve">Severability; waiver. </w:t>
      </w:r>
      <w:r>
        <w:rPr>
          <w:rFonts w:ascii="Open Sans" w:cs="Open Sans" w:eastAsia="Open Sans" w:hAnsi="Open Sans"/>
          <w:color w:val="1D1D1B"/>
          <w:sz w:val="21"/>
          <w:szCs w:val="21"/>
        </w:rPr>
        <w:t xml:space="preserve">If any provision is held unenforceable, the remainder stays in effect. No waiver of any breach waives any other breach.</w:t>
      </w:r>
    </w:p>
    <w:p>
      <w:pPr>
        <w:pStyle w:val="ListParagraph"/>
        <w:numPr>
          <w:ilvl w:val="0"/>
          <w:numId w:val="7"/>
        </w:numPr>
        <w:spacing w:after="140" w:line="300"/>
      </w:pPr>
      <w:r>
        <w:rPr>
          <w:rFonts w:ascii="Open Sans" w:cs="Open Sans" w:eastAsia="Open Sans" w:hAnsi="Open Sans"/>
          <w:b/>
          <w:bCs/>
          <w:color w:val="1D1D1B"/>
          <w:sz w:val="21"/>
          <w:szCs w:val="21"/>
        </w:rPr>
        <w:t xml:space="preserve">No assignment. </w:t>
      </w:r>
      <w:r>
        <w:rPr>
          <w:rFonts w:ascii="Open Sans" w:cs="Open Sans" w:eastAsia="Open Sans" w:hAnsi="Open Sans"/>
          <w:color w:val="1D1D1B"/>
          <w:sz w:val="21"/>
          <w:szCs w:val="21"/>
        </w:rPr>
        <w:t xml:space="preserve">The Sales Representative may not assign this Agreement or any right to commissions without MMG's prior written consent.</w:t>
      </w:r>
    </w:p>
    <w:p>
      <w:pPr>
        <w:pStyle w:val="ListParagraph"/>
        <w:numPr>
          <w:ilvl w:val="0"/>
          <w:numId w:val="7"/>
        </w:numPr>
        <w:spacing w:after="140" w:line="300"/>
      </w:pPr>
      <w:r>
        <w:rPr>
          <w:rFonts w:ascii="Open Sans" w:cs="Open Sans" w:eastAsia="Open Sans" w:hAnsi="Open Sans"/>
          <w:b/>
          <w:bCs/>
          <w:color w:val="1D1D1B"/>
          <w:sz w:val="21"/>
          <w:szCs w:val="21"/>
        </w:rPr>
        <w:t xml:space="preserve">Counterparts; electronic signature. </w:t>
      </w:r>
      <w:r>
        <w:rPr>
          <w:rFonts w:ascii="Open Sans" w:cs="Open Sans" w:eastAsia="Open Sans" w:hAnsi="Open Sans"/>
          <w:color w:val="1D1D1B"/>
          <w:sz w:val="21"/>
          <w:szCs w:val="21"/>
        </w:rPr>
        <w:t xml:space="preserve">This Agreement may be executed in counterparts and by electronic signature, each of which is deemed an original.</w:t>
      </w:r>
    </w:p>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Exhibit A — Approved Pricing Worksheet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c>
          <w:tcPr>
            <w:tcW w:type="dxa" w:w="63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Field</w:t>
            </w:r>
          </w:p>
        </w:tc>
        <w:tc>
          <w:tcPr>
            <w:tcW w:type="dxa" w:w="30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Entry</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Customer / Engagement</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Proposal / SOW reference &amp; date</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Contract Value (Revenue)</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Estimated MMG employee labor</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Estimated approved subcontractor / freelancer labor</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Approved Direct Delivery Costs (total)</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Gross Margin %</w:t>
            </w:r>
          </w:p>
        </w:tc>
        <w:tc>
          <w:tcPr>
            <w:tcW w:type="dxa" w:w="3060"/>
            <w:shd w:fill="FFE4EA" w:val="clear"/>
            <w:tcMar>
              <w:top w:type="dxa" w:w="80"/>
              <w:left w:type="dxa" w:w="120"/>
              <w:bottom w:type="dxa" w:w="80"/>
              <w:right w:type="dxa" w:w="120"/>
            </w:tcMar>
          </w:tcPr>
          <w:p>
            <w:r>
              <w:rPr>
                <w:rFonts w:ascii="Open Sans" w:cs="Open Sans" w:eastAsia="Open Sans" w:hAnsi="Open Sans"/>
                <w:b/>
                <w:bCs/>
                <w:color w:val="1D1D1B"/>
                <w:sz w:val="20"/>
                <w:szCs w:val="20"/>
              </w:rPr>
              <w:t xml:space="preserve">%</w:t>
            </w:r>
          </w:p>
        </w:tc>
      </w:tr>
      <w:tr>
        <w:tc>
          <w:tcPr>
            <w:tcW w:type="dxa" w:w="6300"/>
            <w:shd w:fill="FFF3D6" w:val="clear"/>
            <w:tcMar>
              <w:top w:type="dxa" w:w="80"/>
              <w:left w:type="dxa" w:w="120"/>
              <w:bottom w:type="dxa" w:w="80"/>
              <w:right w:type="dxa" w:w="120"/>
            </w:tcMar>
          </w:tcPr>
          <w:p>
            <w:r>
              <w:rPr>
                <w:rFonts w:ascii="Open Sans" w:cs="Open Sans" w:eastAsia="Open Sans" w:hAnsi="Open Sans"/>
                <w:b/>
                <w:bCs/>
                <w:color w:val="1D1D1B"/>
                <w:sz w:val="20"/>
                <w:szCs w:val="20"/>
              </w:rPr>
              <w:t xml:space="preserve">Margin Integrity Approval (Bill Gusmano or designee — signature &amp; date; required before rate is agreed)</w:t>
            </w:r>
          </w:p>
        </w:tc>
        <w:tc>
          <w:tcPr>
            <w:tcW w:type="dxa" w:w="3060"/>
            <w:shd w:fill="FFF3D6" w:val="clear"/>
            <w:tcMar>
              <w:top w:type="dxa" w:w="80"/>
              <w:left w:type="dxa" w:w="120"/>
              <w:bottom w:type="dxa" w:w="80"/>
              <w:right w:type="dxa" w:w="120"/>
            </w:tcMar>
          </w:tcPr>
          <w:p>
            <w:r>
              <w:rPr>
                <w:rFonts w:ascii="Open Sans" w:cs="Open Sans" w:eastAsia="Open Sans" w:hAnsi="Open Sans"/>
                <w:b/>
                <w:bCs/>
                <w:color w:val="1D1D1B"/>
                <w:sz w:val="20"/>
                <w:szCs w:val="20"/>
              </w:rPr>
              <w:t xml:space="preserve"> </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Cumulative Named-Account Revenue before this engagement</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Rate schedule applied (Standard §4.2, or Reduced §4.4, &lt;40% margin)</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Applicable tier rate(s)</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r>
        <w:tc>
          <w:tcPr>
            <w:tcW w:type="dxa" w:w="63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Commission at approval</w:t>
            </w:r>
          </w:p>
        </w:tc>
        <w:tc>
          <w:tcPr>
            <w:tcW w:type="dxa" w:w="30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w:t>
            </w:r>
          </w:p>
        </w:tc>
      </w:tr>
    </w:tbl>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Exhibit B — Named and Approved Accounts</w:t>
      </w:r>
    </w:p>
    <w:p>
      <w:pPr>
        <w:spacing w:after="160" w:line="300"/>
      </w:pPr>
      <w:r>
        <w:rPr>
          <w:rFonts w:ascii="Open Sans" w:cs="Open Sans" w:eastAsia="Open Sans" w:hAnsi="Open Sans"/>
          <w:color w:val="1D1D1B"/>
          <w:sz w:val="21"/>
          <w:szCs w:val="21"/>
        </w:rPr>
        <w:t xml:space="preserve">Accounts (or scoped portions of accounts) requested by the Sales Representative and approved in writing by MMG as commissionable. Anything not listed here is non-commissionable by default. MMG may amend this list in writing at its sole discretion.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Named and Approved Account</w:t>
            </w:r>
          </w:p>
        </w:tc>
        <w:tc>
          <w:tcPr>
            <w:tcW w:type="dxa" w:w="360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Approved scope (whole account / division / opportunity)</w:t>
            </w:r>
          </w:p>
        </w:tc>
        <w:tc>
          <w:tcPr>
            <w:tcW w:type="dxa" w:w="2160"/>
            <w:shd w:fill="1D1D1B" w:val="clear"/>
            <w:tcMar>
              <w:top w:type="dxa" w:w="80"/>
              <w:left w:type="dxa" w:w="120"/>
              <w:bottom w:type="dxa" w:w="80"/>
              <w:right w:type="dxa" w:w="120"/>
            </w:tcMar>
          </w:tcPr>
          <w:p>
            <w:r>
              <w:rPr>
                <w:rFonts w:ascii="Open Sans" w:cs="Open Sans" w:eastAsia="Open Sans" w:hAnsi="Open Sans"/>
                <w:b/>
                <w:bCs/>
                <w:color w:val="FFFFFF"/>
                <w:sz w:val="20"/>
                <w:szCs w:val="20"/>
              </w:rPr>
              <w:t xml:space="preserve">Approval date</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r>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360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c>
          <w:tcPr>
            <w:tcW w:type="dxa" w:w="2160"/>
            <w:tcMar>
              <w:top w:type="dxa" w:w="80"/>
              <w:left w:type="dxa" w:w="120"/>
              <w:bottom w:type="dxa" w:w="80"/>
              <w:right w:type="dxa" w:w="120"/>
            </w:tcMar>
          </w:tcPr>
          <w:p>
            <w:r>
              <w:rPr>
                <w:rFonts w:ascii="Open Sans" w:cs="Open Sans" w:eastAsia="Open Sans" w:hAnsi="Open Sans"/>
                <w:b w:val="false"/>
                <w:bCs w:val="false"/>
                <w:color w:val="1D1D1B"/>
                <w:sz w:val="20"/>
                <w:szCs w:val="20"/>
              </w:rPr>
              <w:t xml:space="preserve"> </w:t>
            </w:r>
          </w:p>
        </w:tc>
      </w:tr>
    </w:tbl>
    <w:p>
      <w:pPr>
        <w:pStyle w:val="Heading2"/>
        <w:pBdr>
          <w:bottom w:val="single" w:color="FF97A9" w:sz="12" w:space="2"/>
        </w:pBdr>
        <w:spacing w:after="140" w:before="320"/>
      </w:pPr>
      <w:r>
        <w:rPr>
          <w:rFonts w:ascii="Source Serif Pro" w:cs="Source Serif Pro" w:eastAsia="Source Serif Pro" w:hAnsi="Source Serif Pro"/>
          <w:b/>
          <w:bCs/>
          <w:color w:val="1D1D1B"/>
          <w:sz w:val="26"/>
          <w:szCs w:val="26"/>
        </w:rPr>
        <w:t xml:space="preserve">Signatures</w:t>
      </w:r>
    </w:p>
    <w:p>
      <w:pPr>
        <w:spacing w:after="60" w:before="120"/>
      </w:pPr>
      <w:r>
        <w:rPr>
          <w:rFonts w:ascii="Source Serif Pro" w:cs="Source Serif Pro" w:eastAsia="Source Serif Pro" w:hAnsi="Source Serif Pro"/>
          <w:b/>
          <w:bCs/>
          <w:color w:val="1D1D1B"/>
          <w:sz w:val="23"/>
          <w:szCs w:val="23"/>
        </w:rPr>
        <w:t xml:space="preserve">MMG Global LLC d/b/a The Motivated Mind Group</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Signature</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Name: William J. Gusmano · Title: Co-Founder &amp; CEO</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Date</w:t>
      </w:r>
    </w:p>
    <w:p>
      <w:pPr>
        <w:spacing w:after="60" w:before="320"/>
      </w:pPr>
      <w:r>
        <w:rPr>
          <w:rFonts w:ascii="Source Serif Pro" w:cs="Source Serif Pro" w:eastAsia="Source Serif Pro" w:hAnsi="Source Serif Pro"/>
          <w:b/>
          <w:bCs/>
          <w:color w:val="1D1D1B"/>
          <w:sz w:val="23"/>
          <w:szCs w:val="23"/>
        </w:rPr>
        <w:t xml:space="preserve">Sales Representative — Jeff Gibbs</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Signature</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Name: Jeff Gibbs · Title: CRO</w:t>
      </w:r>
    </w:p>
    <w:p>
      <w:pPr>
        <w:pBdr>
          <w:bottom w:val="single" w:color="1D1D1B" w:sz="8" w:space="1"/>
        </w:pBdr>
        <w:spacing w:after="40" w:before="420"/>
      </w:pPr>
      <w:r>
        <w:rPr>
          <w:rFonts w:ascii="Open Sans" w:cs="Open Sans" w:eastAsia="Open Sans" w:hAnsi="Open Sans"/>
          <w:sz w:val="21"/>
          <w:szCs w:val="21"/>
        </w:rPr>
        <w:t xml:space="preserve"> </w:t>
      </w:r>
    </w:p>
    <w:p>
      <w:pPr>
        <w:spacing w:after="80"/>
      </w:pPr>
      <w:r>
        <w:rPr>
          <w:rFonts w:ascii="Open Sans" w:cs="Open Sans" w:eastAsia="Open Sans" w:hAnsi="Open Sans"/>
          <w:color w:val="1D1D1B"/>
          <w:sz w:val="17"/>
          <w:szCs w:val="17"/>
        </w:rPr>
        <w:t xml:space="preserve">Date</w:t>
      </w:r>
    </w:p>
    <w:p>
      <w:pPr>
        <w:spacing w:before="400"/>
      </w:pPr>
      <w:r>
        <w:rPr>
          <w:rFonts w:ascii="Open Sans" w:cs="Open Sans" w:eastAsia="Open Sans" w:hAnsi="Open Sans"/>
          <w:i/>
          <w:iCs/>
          <w:color w:val="1D1D1B"/>
          <w:sz w:val="17"/>
          <w:szCs w:val="17"/>
        </w:rPr>
        <w:t xml:space="preserve">Template — not legal advice. Have counsel review before execution. Alternative plan design — placeholder rates pending confirmation.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D1D1B" w:sz="6" w:space="4"/>
      </w:pBdr>
      <w:jc w:val="center"/>
    </w:pPr>
    <w:r>
      <w:rPr>
        <w:rFonts w:ascii="Open Sans" w:cs="Open Sans" w:eastAsia="Open Sans" w:hAnsi="Open Sans"/>
        <w:color w:val="1D1D1B"/>
        <w:sz w:val="15"/>
        <w:szCs w:val="15"/>
      </w:rPr>
      <w:t xml:space="preserve">© 2026 The Motivated Mind Group Inc. | 480-219-2875 | support@themotivatedmindgroup.com | 260 S Arizona Ave, Chandler AZ 85225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80" w:hanging="480"/>
      </w:pPr>
      <w:rPr>
        <w:b/>
        <w:bCs/>
      </w:rPr>
    </w:lvl>
  </w:abstractNum>
  <w:abstractNum w:abstractNumId="3" w15:restartNumberingAfterBreak="0">
    <w:multiLevelType w:val="hybridMultilevel"/>
    <w:lvl w:ilvl="0" w15:tentative="1">
      <w:start w:val="1"/>
      <w:numFmt w:val="decimal"/>
      <w:lvlText w:val="%1."/>
      <w:lvlJc w:val="start"/>
      <w:pPr>
        <w:ind w:left="480" w:hanging="480"/>
      </w:pPr>
      <w:rPr>
        <w:b/>
        <w:bCs/>
      </w:rPr>
    </w:lvl>
  </w:abstractNum>
  <w:abstractNum w:abstractNumId="4" w15:restartNumberingAfterBreak="0">
    <w:multiLevelType w:val="hybridMultilevel"/>
    <w:lvl w:ilvl="0" w15:tentative="1">
      <w:start w:val="1"/>
      <w:numFmt w:val="decimal"/>
      <w:lvlText w:val="%1."/>
      <w:lvlJc w:val="start"/>
      <w:pPr>
        <w:ind w:left="480" w:hanging="480"/>
      </w:pPr>
      <w:rPr>
        <w:b/>
        <w:bCs/>
      </w:rPr>
    </w:lvl>
  </w:abstractNum>
  <w:abstractNum w:abstractNumId="5" w15:restartNumberingAfterBreak="0">
    <w:multiLevelType w:val="hybridMultilevel"/>
    <w:lvl w:ilvl="0" w15:tentative="1">
      <w:start w:val="1"/>
      <w:numFmt w:val="decimal"/>
      <w:lvlText w:val="%1."/>
      <w:lvlJc w:val="start"/>
      <w:pPr>
        <w:ind w:left="480" w:hanging="480"/>
      </w:pPr>
      <w:rPr>
        <w:b/>
        <w:bCs/>
      </w:rPr>
    </w:lvl>
  </w:abstractNum>
  <w:abstractNum w:abstractNumId="6" w15:restartNumberingAfterBreak="0">
    <w:multiLevelType w:val="hybridMultilevel"/>
    <w:lvl w:ilvl="0" w15:tentative="1">
      <w:start w:val="1"/>
      <w:numFmt w:val="decimal"/>
      <w:lvlText w:val="%1."/>
      <w:lvlJc w:val="start"/>
      <w:pPr>
        <w:ind w:left="480" w:hanging="480"/>
      </w:pPr>
      <w:rPr>
        <w:b/>
        <w:bCs/>
      </w:rPr>
    </w:lvl>
  </w:abstractNum>
  <w:abstractNum w:abstractNumId="7" w15:restartNumberingAfterBreak="0">
    <w:multiLevelType w:val="hybridMultilevel"/>
    <w:lvl w:ilvl="0" w15:tentative="1">
      <w:start w:val="1"/>
      <w:numFmt w:val="decimal"/>
      <w:lvlText w:val="%1."/>
      <w:lvlJc w:val="start"/>
      <w:pPr>
        <w:ind w:left="480" w:hanging="480"/>
      </w:pPr>
      <w:rPr>
        <w:b/>
        <w:bCs/>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1D1D1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be5a0ddf5adc266c5c083cbccca70be3544b831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2026-08-06T17:58:23.527Z</dcterms:created>
  <dcterms:modified xsi:type="dcterms:W3CDTF">2026-08-06T17:58:23.527Z</dcterms:modified>
</cp:coreProperties>
</file>

<file path=docProps/custom.xml><?xml version="1.0" encoding="utf-8"?>
<Properties xmlns="http://schemas.openxmlformats.org/officeDocument/2006/custom-properties" xmlns:vt="http://schemas.openxmlformats.org/officeDocument/2006/docPropsVTypes"/>
</file>