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FF97A9" w:val="clear"/>
        <w:spacing w:after="240"/>
      </w:pPr>
      <w:r>
        <w:rPr>
          <w:sz w:val="8"/>
          <w:szCs w:val="8"/>
        </w:rPr>
        <w:t xml:space="preserve"> </w:t>
      </w:r>
    </w:p>
    <w:p>
      <w:pPr>
        <w:spacing w:after="60"/>
      </w:pPr>
      <w:r>
        <w:drawing>
          <wp:inline distT="0" distB="0" distL="0" distR="0">
            <wp:extent cx="2247900" cy="628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247900" cy="628650"/>
                    </a:xfrm>
                    <a:prstGeom prst="rect">
                      <a:avLst/>
                    </a:prstGeom>
                  </pic:spPr>
                </pic:pic>
              </a:graphicData>
            </a:graphic>
          </wp:inline>
        </w:drawing>
      </w:r>
    </w:p>
    <w:p>
      <w:pPr>
        <w:spacing w:after="60"/>
      </w:pPr>
      <w:r>
        <w:rPr>
          <w:rFonts w:ascii="Open Sans" w:cs="Open Sans" w:eastAsia="Open Sans" w:hAnsi="Open Sans"/>
          <w:color w:val="1D1D1B"/>
          <w:sz w:val="17"/>
          <w:szCs w:val="17"/>
        </w:rPr>
        <w:t xml:space="preserve">MMG Global LLC — WBENC Certified Women-Owned</w:t>
      </w:r>
    </w:p>
    <w:p>
      <w:pPr>
        <w:pBdr>
          <w:bottom w:val="single" w:color="1D1D1B" w:sz="18" w:space="4"/>
        </w:pBdr>
        <w:spacing w:after="280"/>
      </w:pPr>
      <w:r>
        <w:rPr>
          <w:rFonts w:ascii="Open Sans" w:cs="Open Sans" w:eastAsia="Open Sans" w:hAnsi="Open Sans"/>
          <w:b/>
          <w:bCs/>
          <w:color w:val="1D1D1B"/>
          <w:sz w:val="18"/>
          <w:szCs w:val="18"/>
        </w:rPr>
        <w:t xml:space="preserve">SALES COMMISSION AGREEMENT — Fixed Term Sep–Dec 2026 · Jeff Gibbs · Confidential</w:t>
      </w:r>
    </w:p>
    <w:p>
      <w:pPr>
        <w:spacing w:after="100"/>
      </w:pPr>
      <w:r>
        <w:rPr>
          <w:rFonts w:ascii="Source Serif Pro" w:cs="Source Serif Pro" w:eastAsia="Source Serif Pro" w:hAnsi="Source Serif Pro"/>
          <w:b/>
          <w:bCs/>
          <w:color w:val="1D1D1B"/>
          <w:sz w:val="36"/>
          <w:szCs w:val="36"/>
        </w:rPr>
        <w:t xml:space="preserve">Sales Commission Agreement — Fixed Term (Sep–Dec 2026), Flat Revenue Rate with Margin Integrity Approval</w:t>
      </w:r>
    </w:p>
    <w:p>
      <w:pPr>
        <w:spacing w:after="160" w:line="300"/>
      </w:pPr>
      <w:r>
        <w:rPr>
          <w:rFonts w:ascii="Open Sans" w:cs="Open Sans" w:eastAsia="Open Sans" w:hAnsi="Open Sans"/>
          <w:color w:val="1D1D1B"/>
          <w:sz w:val="21"/>
          <w:szCs w:val="21"/>
        </w:rPr>
        <w:t xml:space="preserve">This Sales Commission Agreement (this “</w:t>
      </w:r>
      <w:r>
        <w:rPr>
          <w:rFonts w:ascii="Open Sans" w:cs="Open Sans" w:eastAsia="Open Sans" w:hAnsi="Open Sans"/>
          <w:b/>
          <w:bCs/>
          <w:color w:val="1D1D1B"/>
          <w:sz w:val="21"/>
          <w:szCs w:val="21"/>
        </w:rPr>
        <w:t xml:space="preserve">Agreement</w:t>
      </w:r>
      <w:r>
        <w:rPr>
          <w:rFonts w:ascii="Open Sans" w:cs="Open Sans" w:eastAsia="Open Sans" w:hAnsi="Open Sans"/>
          <w:color w:val="1D1D1B"/>
          <w:sz w:val="21"/>
          <w:szCs w:val="21"/>
        </w:rPr>
        <w:t xml:space="preserve">”) is entered into as of ____________________ (the “</w:t>
      </w:r>
      <w:r>
        <w:rPr>
          <w:rFonts w:ascii="Open Sans" w:cs="Open Sans" w:eastAsia="Open Sans" w:hAnsi="Open Sans"/>
          <w:b/>
          <w:bCs/>
          <w:color w:val="1D1D1B"/>
          <w:sz w:val="21"/>
          <w:szCs w:val="21"/>
        </w:rPr>
        <w:t xml:space="preserve">Effective Date</w:t>
      </w:r>
      <w:r>
        <w:rPr>
          <w:rFonts w:ascii="Open Sans" w:cs="Open Sans" w:eastAsia="Open Sans" w:hAnsi="Open Sans"/>
          <w:color w:val="1D1D1B"/>
          <w:sz w:val="21"/>
          <w:szCs w:val="21"/>
        </w:rPr>
        <w:t xml:space="preserve">”), by and between </w:t>
      </w:r>
      <w:r>
        <w:rPr>
          <w:rFonts w:ascii="Open Sans" w:cs="Open Sans" w:eastAsia="Open Sans" w:hAnsi="Open Sans"/>
          <w:b/>
          <w:bCs/>
          <w:color w:val="1D1D1B"/>
          <w:sz w:val="21"/>
          <w:szCs w:val="21"/>
        </w:rPr>
        <w:t xml:space="preserve">MMG Global LLC</w:t>
      </w:r>
      <w:r>
        <w:rPr>
          <w:rFonts w:ascii="Open Sans" w:cs="Open Sans" w:eastAsia="Open Sans" w:hAnsi="Open Sans"/>
          <w:color w:val="1D1D1B"/>
          <w:sz w:val="21"/>
          <w:szCs w:val="21"/>
        </w:rPr>
        <w:t xml:space="preserve">, an Arizona limited liability company d/b/a The Motivated Mind Group, with its principal place of business at 260 S Arizona Ave, Chandler, AZ 85225 (“</w:t>
      </w:r>
      <w:r>
        <w:rPr>
          <w:rFonts w:ascii="Open Sans" w:cs="Open Sans" w:eastAsia="Open Sans" w:hAnsi="Open Sans"/>
          <w:b/>
          <w:bCs/>
          <w:color w:val="1D1D1B"/>
          <w:sz w:val="21"/>
          <w:szCs w:val="21"/>
        </w:rPr>
        <w:t xml:space="preserve">MMG</w:t>
      </w:r>
      <w:r>
        <w:rPr>
          <w:rFonts w:ascii="Open Sans" w:cs="Open Sans" w:eastAsia="Open Sans" w:hAnsi="Open Sans"/>
          <w:color w:val="1D1D1B"/>
          <w:sz w:val="21"/>
          <w:szCs w:val="21"/>
        </w:rPr>
        <w:t xml:space="preserve">” or the “</w:t>
      </w:r>
      <w:r>
        <w:rPr>
          <w:rFonts w:ascii="Open Sans" w:cs="Open Sans" w:eastAsia="Open Sans" w:hAnsi="Open Sans"/>
          <w:b/>
          <w:bCs/>
          <w:color w:val="1D1D1B"/>
          <w:sz w:val="21"/>
          <w:szCs w:val="21"/>
        </w:rPr>
        <w:t xml:space="preserve">Company</w:t>
      </w:r>
      <w:r>
        <w:rPr>
          <w:rFonts w:ascii="Open Sans" w:cs="Open Sans" w:eastAsia="Open Sans" w:hAnsi="Open Sans"/>
          <w:color w:val="1D1D1B"/>
          <w:sz w:val="21"/>
          <w:szCs w:val="21"/>
        </w:rPr>
        <w:t xml:space="preserve">”), and </w:t>
      </w:r>
      <w:r>
        <w:rPr>
          <w:rFonts w:ascii="Open Sans" w:cs="Open Sans" w:eastAsia="Open Sans" w:hAnsi="Open Sans"/>
          <w:b/>
          <w:bCs/>
          <w:color w:val="1D1D1B"/>
          <w:sz w:val="21"/>
          <w:szCs w:val="21"/>
        </w:rPr>
        <w:t xml:space="preserve">Jeff Gibbs</w:t>
      </w:r>
      <w:r>
        <w:rPr>
          <w:rFonts w:ascii="Open Sans" w:cs="Open Sans" w:eastAsia="Open Sans" w:hAnsi="Open Sans"/>
          <w:color w:val="1D1D1B"/>
          <w:sz w:val="21"/>
          <w:szCs w:val="21"/>
        </w:rPr>
        <w:t xml:space="preserve"> (the “</w:t>
      </w:r>
      <w:r>
        <w:rPr>
          <w:rFonts w:ascii="Open Sans" w:cs="Open Sans" w:eastAsia="Open Sans" w:hAnsi="Open Sans"/>
          <w:b/>
          <w:bCs/>
          <w:color w:val="1D1D1B"/>
          <w:sz w:val="21"/>
          <w:szCs w:val="21"/>
        </w:rPr>
        <w:t xml:space="preserve">Sales Representative</w:t>
      </w:r>
      <w:r>
        <w:rPr>
          <w:rFonts w:ascii="Open Sans" w:cs="Open Sans" w:eastAsia="Open Sans" w:hAnsi="Open Sans"/>
          <w:color w:val="1D1D1B"/>
          <w:sz w:val="21"/>
          <w:szCs w:val="21"/>
        </w:rPr>
        <w:t xml:space="preserve">”), engaged by MMG on a part-time, secondary-role basis in Business Development and Account Management. MMG and the Sales Representative are each a “</w:t>
      </w:r>
      <w:r>
        <w:rPr>
          <w:rFonts w:ascii="Open Sans" w:cs="Open Sans" w:eastAsia="Open Sans" w:hAnsi="Open Sans"/>
          <w:b/>
          <w:bCs/>
          <w:color w:val="1D1D1B"/>
          <w:sz w:val="21"/>
          <w:szCs w:val="21"/>
        </w:rPr>
        <w:t xml:space="preserve">Party</w:t>
      </w:r>
      <w:r>
        <w:rPr>
          <w:rFonts w:ascii="Open Sans" w:cs="Open Sans" w:eastAsia="Open Sans" w:hAnsi="Open Sans"/>
          <w:color w:val="1D1D1B"/>
          <w:sz w:val="21"/>
          <w:szCs w:val="21"/>
        </w:rPr>
        <w:t xml:space="preserve">” and together the “</w:t>
      </w:r>
      <w:r>
        <w:rPr>
          <w:rFonts w:ascii="Open Sans" w:cs="Open Sans" w:eastAsia="Open Sans" w:hAnsi="Open Sans"/>
          <w:b/>
          <w:bCs/>
          <w:color w:val="1D1D1B"/>
          <w:sz w:val="21"/>
          <w:szCs w:val="21"/>
        </w:rPr>
        <w:t xml:space="preserve">Parties</w:t>
      </w:r>
      <w:r>
        <w:rPr>
          <w:rFonts w:ascii="Open Sans" w:cs="Open Sans" w:eastAsia="Open Sans" w:hAnsi="Open Sans"/>
          <w:color w:val="1D1D1B"/>
          <w:sz w:val="21"/>
          <w:szCs w:val="21"/>
        </w:rPr>
        <w:t xml:space="preserve">.”</w:t>
      </w:r>
    </w:p>
    <w:p>
      <w:pPr>
        <w:pStyle w:val="Heading2"/>
        <w:pBdr>
          <w:bottom w:val="single" w:color="FF97A9" w:sz="12" w:space="2"/>
        </w:pBdr>
        <w:spacing w:after="140" w:before="320"/>
      </w:pPr>
      <w:r>
        <w:rPr>
          <w:rFonts w:ascii="Source Serif Pro" w:cs="Source Serif Pro" w:eastAsia="Source Serif Pro" w:hAnsi="Source Serif Pro"/>
          <w:b/>
          <w:bCs/>
          <w:color w:val="1D1D1B"/>
          <w:sz w:val="26"/>
          <w:szCs w:val="26"/>
        </w:rPr>
        <w:t xml:space="preserve">1. Purpose</w:t>
      </w:r>
    </w:p>
    <w:p>
      <w:pPr>
        <w:spacing w:after="160" w:line="300"/>
      </w:pPr>
      <w:r>
        <w:rPr>
          <w:rFonts w:ascii="Open Sans" w:cs="Open Sans" w:eastAsia="Open Sans" w:hAnsi="Open Sans"/>
          <w:color w:val="1D1D1B"/>
          <w:sz w:val="21"/>
          <w:szCs w:val="21"/>
        </w:rPr>
        <w:t xml:space="preserve">This Agreement establishes the terms under which the Sales Representative earns commissions on sales of MMG products and services during the Term (Section 3). Commission is calculated on Approved Contract Value (Revenue), not gross profit — and every quote passes through a Margin Integrity Approval gate before its commission rate is agreed, so pricing discipline is checked at the same moment the commission basis is set.</w:t>
      </w:r>
    </w:p>
    <w:p>
      <w:pPr>
        <w:pStyle w:val="Heading2"/>
        <w:pBdr>
          <w:bottom w:val="single" w:color="FF97A9" w:sz="12" w:space="2"/>
        </w:pBdr>
        <w:spacing w:after="140" w:before="320"/>
      </w:pPr>
      <w:r>
        <w:rPr>
          <w:rFonts w:ascii="Source Serif Pro" w:cs="Source Serif Pro" w:eastAsia="Source Serif Pro" w:hAnsi="Source Serif Pro"/>
          <w:b/>
          <w:bCs/>
          <w:color w:val="1D1D1B"/>
          <w:sz w:val="26"/>
          <w:szCs w:val="26"/>
        </w:rPr>
        <w:t xml:space="preserve">2. Definitions</w:t>
      </w:r>
    </w:p>
    <w:p>
      <w:pPr>
        <w:pStyle w:val="ListParagraph"/>
        <w:numPr>
          <w:ilvl w:val="0"/>
          <w:numId w:val="2"/>
        </w:numPr>
        <w:spacing w:after="140" w:line="300"/>
      </w:pPr>
      <w:r>
        <w:rPr>
          <w:rFonts w:ascii="Open Sans" w:cs="Open Sans" w:eastAsia="Open Sans" w:hAnsi="Open Sans"/>
          <w:b/>
          <w:bCs/>
          <w:color w:val="1D1D1B"/>
          <w:sz w:val="21"/>
          <w:szCs w:val="21"/>
        </w:rPr>
        <w:t xml:space="preserve">“Approved Contract Value” </w:t>
      </w:r>
      <w:r>
        <w:rPr>
          <w:rFonts w:ascii="Open Sans" w:cs="Open Sans" w:eastAsia="Open Sans" w:hAnsi="Open Sans"/>
          <w:color w:val="1D1D1B"/>
          <w:sz w:val="21"/>
          <w:szCs w:val="21"/>
        </w:rPr>
        <w:t xml:space="preserve">means the total selling price of a customer engagement as stated in the customer proposal, statement of work, or contract approved by MMG management, as such value may be increased or decreased solely by an approved Change Order.</w:t>
      </w:r>
    </w:p>
    <w:p>
      <w:pPr>
        <w:pStyle w:val="ListParagraph"/>
        <w:numPr>
          <w:ilvl w:val="0"/>
          <w:numId w:val="2"/>
        </w:numPr>
        <w:spacing w:after="140" w:line="300"/>
      </w:pPr>
      <w:r>
        <w:rPr>
          <w:rFonts w:ascii="Open Sans" w:cs="Open Sans" w:eastAsia="Open Sans" w:hAnsi="Open Sans"/>
          <w:b/>
          <w:bCs/>
          <w:color w:val="1D1D1B"/>
          <w:sz w:val="21"/>
          <w:szCs w:val="21"/>
        </w:rPr>
        <w:t xml:space="preserve">“Approved Pricing Worksheet” </w:t>
      </w:r>
      <w:r>
        <w:rPr>
          <w:rFonts w:ascii="Open Sans" w:cs="Open Sans" w:eastAsia="Open Sans" w:hAnsi="Open Sans"/>
          <w:color w:val="1D1D1B"/>
          <w:sz w:val="21"/>
          <w:szCs w:val="21"/>
        </w:rPr>
        <w:t xml:space="preserve">means the internal pricing worksheet prepared by MMG for each proposal before it is sent to the customer, setting out the Approved Contract Value, the Approved Direct Delivery Costs, the resulting Gross Margin %, and the Margin Integrity Approval, all approved in writing before the proposal is sent to the customer.</w:t>
      </w:r>
    </w:p>
    <w:p>
      <w:pPr>
        <w:pStyle w:val="ListParagraph"/>
        <w:numPr>
          <w:ilvl w:val="0"/>
          <w:numId w:val="2"/>
        </w:numPr>
        <w:spacing w:after="140" w:line="300"/>
      </w:pPr>
      <w:r>
        <w:rPr>
          <w:rFonts w:ascii="Open Sans" w:cs="Open Sans" w:eastAsia="Open Sans" w:hAnsi="Open Sans"/>
          <w:b/>
          <w:bCs/>
          <w:color w:val="1D1D1B"/>
          <w:sz w:val="21"/>
          <w:szCs w:val="21"/>
        </w:rPr>
        <w:t xml:space="preserve">“Approved Direct Delivery Costs” </w:t>
      </w:r>
      <w:r>
        <w:rPr>
          <w:rFonts w:ascii="Open Sans" w:cs="Open Sans" w:eastAsia="Open Sans" w:hAnsi="Open Sans"/>
          <w:color w:val="1D1D1B"/>
          <w:sz w:val="21"/>
          <w:szCs w:val="21"/>
        </w:rPr>
        <w:t xml:space="preserve">means, for a given engagement, solely (a) the labor costs of MMG employees specifically budgeted for that engagement, and (b) the labor costs of approved subcontractors and freelancers (including, without limitation, video production, instructional design, animation, and specialized consulting talent) specifically budgeted for that engagement, in each case as identified in the Approved Pricing Worksheet. Approved Direct Delivery Costs expressly </w:t>
      </w:r>
      <w:r>
        <w:rPr>
          <w:rFonts w:ascii="Open Sans" w:cs="Open Sans" w:eastAsia="Open Sans" w:hAnsi="Open Sans"/>
          <w:b/>
          <w:bCs/>
          <w:color w:val="1D1D1B"/>
          <w:sz w:val="21"/>
          <w:szCs w:val="21"/>
        </w:rPr>
        <w:t xml:space="preserve">exclude</w:t>
      </w:r>
      <w:r>
        <w:rPr>
          <w:rFonts w:ascii="Open Sans" w:cs="Open Sans" w:eastAsia="Open Sans" w:hAnsi="Open Sans"/>
          <w:color w:val="1D1D1B"/>
          <w:sz w:val="21"/>
          <w:szCs w:val="21"/>
        </w:rPr>
        <w:t xml:space="preserve"> all company overhead and operating expenses, including without limitation rent, executive salaries, software subscriptions, marketing, general and administrative expenses, and office overhead.</w:t>
      </w:r>
    </w:p>
    <w:p>
      <w:pPr>
        <w:pStyle w:val="ListParagraph"/>
        <w:numPr>
          <w:ilvl w:val="0"/>
          <w:numId w:val="2"/>
        </w:numPr>
        <w:spacing w:after="140" w:line="300"/>
      </w:pPr>
      <w:r>
        <w:rPr>
          <w:rFonts w:ascii="Open Sans" w:cs="Open Sans" w:eastAsia="Open Sans" w:hAnsi="Open Sans"/>
          <w:b/>
          <w:bCs/>
          <w:color w:val="1D1D1B"/>
          <w:sz w:val="21"/>
          <w:szCs w:val="21"/>
        </w:rPr>
        <w:t xml:space="preserve">“Gross Margin %” </w:t>
      </w:r>
      <w:r>
        <w:rPr>
          <w:rFonts w:ascii="Open Sans" w:cs="Open Sans" w:eastAsia="Open Sans" w:hAnsi="Open Sans"/>
          <w:color w:val="1D1D1B"/>
          <w:sz w:val="21"/>
          <w:szCs w:val="21"/>
        </w:rPr>
        <w:t xml:space="preserve">means, for a given engagement, the Approved Contract Value less the Approved Direct Delivery Costs, divided by the Approved Contract Value, expressed as a percentage and shown on the Approved Pricing Worksheet. Gross Margin % is fixed at the quoted figure for commission purposes and is not recalculated based on actual project costs or profitability.</w:t>
      </w:r>
    </w:p>
    <w:p>
      <w:pPr>
        <w:pStyle w:val="ListParagraph"/>
        <w:numPr>
          <w:ilvl w:val="0"/>
          <w:numId w:val="2"/>
        </w:numPr>
        <w:spacing w:after="140" w:line="300"/>
      </w:pPr>
      <w:r>
        <w:rPr>
          <w:rFonts w:ascii="Open Sans" w:cs="Open Sans" w:eastAsia="Open Sans" w:hAnsi="Open Sans"/>
          <w:b/>
          <w:bCs/>
          <w:color w:val="1D1D1B"/>
          <w:sz w:val="21"/>
          <w:szCs w:val="21"/>
        </w:rPr>
        <w:t xml:space="preserve">“Margin Integrity Approval” </w:t>
      </w:r>
      <w:r>
        <w:rPr>
          <w:rFonts w:ascii="Open Sans" w:cs="Open Sans" w:eastAsia="Open Sans" w:hAnsi="Open Sans"/>
          <w:color w:val="1D1D1B"/>
          <w:sz w:val="21"/>
          <w:szCs w:val="21"/>
        </w:rPr>
        <w:t xml:space="preserve">means the written approval of the Gross Margin % shown on the Approved Pricing Worksheet by </w:t>
      </w:r>
      <w:r>
        <w:rPr>
          <w:rFonts w:ascii="Open Sans" w:cs="Open Sans" w:eastAsia="Open Sans" w:hAnsi="Open Sans"/>
          <w:b/>
          <w:bCs/>
          <w:color w:val="1D1D1B"/>
          <w:sz w:val="21"/>
          <w:szCs w:val="21"/>
        </w:rPr>
        <w:t xml:space="preserve">Bill Gusmano</w:t>
      </w:r>
      <w:r>
        <w:rPr>
          <w:rFonts w:ascii="Open Sans" w:cs="Open Sans" w:eastAsia="Open Sans" w:hAnsi="Open Sans"/>
          <w:color w:val="1D1D1B"/>
          <w:sz w:val="21"/>
          <w:szCs w:val="21"/>
        </w:rPr>
        <w:t xml:space="preserve">, or a successor or designee he identifies in writing to the Sales Representative. Margin Integrity Approval must be obtained, and the resulting Commission Rate for that engagement agreed, </w:t>
      </w:r>
      <w:r>
        <w:rPr>
          <w:rFonts w:ascii="Open Sans" w:cs="Open Sans" w:eastAsia="Open Sans" w:hAnsi="Open Sans"/>
          <w:b/>
          <w:bCs/>
          <w:color w:val="1D1D1B"/>
          <w:sz w:val="21"/>
          <w:szCs w:val="21"/>
        </w:rPr>
        <w:t xml:space="preserve">before</w:t>
      </w:r>
      <w:r>
        <w:rPr>
          <w:rFonts w:ascii="Open Sans" w:cs="Open Sans" w:eastAsia="Open Sans" w:hAnsi="Open Sans"/>
          <w:color w:val="1D1D1B"/>
          <w:sz w:val="21"/>
          <w:szCs w:val="21"/>
        </w:rPr>
        <w:t xml:space="preserve"> the proposal is sent to the customer. No commission accrues on any engagement lacking Margin Integrity Approval.</w:t>
      </w:r>
    </w:p>
    <w:p>
      <w:pPr>
        <w:pStyle w:val="ListParagraph"/>
        <w:numPr>
          <w:ilvl w:val="0"/>
          <w:numId w:val="2"/>
        </w:numPr>
        <w:spacing w:after="140" w:line="300"/>
      </w:pPr>
      <w:r>
        <w:rPr>
          <w:rFonts w:ascii="Open Sans" w:cs="Open Sans" w:eastAsia="Open Sans" w:hAnsi="Open Sans"/>
          <w:b/>
          <w:bCs/>
          <w:color w:val="1D1D1B"/>
          <w:sz w:val="21"/>
          <w:szCs w:val="21"/>
        </w:rPr>
        <w:t xml:space="preserve">“Change Order” </w:t>
      </w:r>
      <w:r>
        <w:rPr>
          <w:rFonts w:ascii="Open Sans" w:cs="Open Sans" w:eastAsia="Open Sans" w:hAnsi="Open Sans"/>
          <w:color w:val="1D1D1B"/>
          <w:sz w:val="21"/>
          <w:szCs w:val="21"/>
        </w:rPr>
        <w:t xml:space="preserve">means a written modification to a customer contract, approved by both MMG management and the customer, that increases or decreases the Approved Contract Value. A Change Order that changes the Approved Contract Value or the Approved Direct Delivery Costs requires a revised Approved Pricing Worksheet and a new Margin Integrity Approval, and the Commission Rate is reset accordingly for amounts invoiced on or after the Change Order date.</w:t>
      </w:r>
    </w:p>
    <w:p>
      <w:pPr>
        <w:pStyle w:val="ListParagraph"/>
        <w:numPr>
          <w:ilvl w:val="0"/>
          <w:numId w:val="2"/>
        </w:numPr>
        <w:spacing w:after="140" w:line="300"/>
      </w:pPr>
      <w:r>
        <w:rPr>
          <w:rFonts w:ascii="Open Sans" w:cs="Open Sans" w:eastAsia="Open Sans" w:hAnsi="Open Sans"/>
          <w:b/>
          <w:bCs/>
          <w:color w:val="1D1D1B"/>
          <w:sz w:val="21"/>
          <w:szCs w:val="21"/>
        </w:rPr>
        <w:t xml:space="preserve">“Named and Approved Account” </w:t>
      </w:r>
      <w:r>
        <w:rPr>
          <w:rFonts w:ascii="Open Sans" w:cs="Open Sans" w:eastAsia="Open Sans" w:hAnsi="Open Sans"/>
          <w:color w:val="1D1D1B"/>
          <w:sz w:val="21"/>
          <w:szCs w:val="21"/>
        </w:rPr>
        <w:t xml:space="preserve">means a customer account — or a defined portion of a customer account, such as a specific division, business unit, buying group, or opportunity — that the Sales Representative has requested in writing and that MMG has expressly approved in writing as commissionable for that Sales Representative (recorded in Exhibit B). MMG may grant, deny, scope, condition, or prospectively revoke any such approval in its sole discretion. Approval of a portion of an account does not make any other portion of that account commissionable. Commissions under Section 5 are earned </w:t>
      </w:r>
      <w:r>
        <w:rPr>
          <w:rFonts w:ascii="Open Sans" w:cs="Open Sans" w:eastAsia="Open Sans" w:hAnsi="Open Sans"/>
          <w:b/>
          <w:bCs/>
          <w:color w:val="1D1D1B"/>
          <w:sz w:val="21"/>
          <w:szCs w:val="21"/>
        </w:rPr>
        <w:t xml:space="preserve">only</w:t>
      </w:r>
      <w:r>
        <w:rPr>
          <w:rFonts w:ascii="Open Sans" w:cs="Open Sans" w:eastAsia="Open Sans" w:hAnsi="Open Sans"/>
          <w:color w:val="1D1D1B"/>
          <w:sz w:val="21"/>
          <w:szCs w:val="21"/>
        </w:rPr>
        <w:t xml:space="preserve"> on Named and Approved Account engagements.</w:t>
      </w:r>
    </w:p>
    <w:p>
      <w:pPr>
        <w:pStyle w:val="ListParagraph"/>
        <w:numPr>
          <w:ilvl w:val="0"/>
          <w:numId w:val="2"/>
        </w:numPr>
        <w:spacing w:after="140" w:line="300"/>
      </w:pPr>
      <w:r>
        <w:rPr>
          <w:rFonts w:ascii="Open Sans" w:cs="Open Sans" w:eastAsia="Open Sans" w:hAnsi="Open Sans"/>
          <w:b/>
          <w:bCs/>
          <w:color w:val="1D1D1B"/>
          <w:sz w:val="21"/>
          <w:szCs w:val="21"/>
        </w:rPr>
        <w:t xml:space="preserve">Default — no commission without approval. </w:t>
      </w:r>
      <w:r>
        <w:rPr>
          <w:rFonts w:ascii="Open Sans" w:cs="Open Sans" w:eastAsia="Open Sans" w:hAnsi="Open Sans"/>
          <w:color w:val="1D1D1B"/>
          <w:sz w:val="21"/>
          <w:szCs w:val="21"/>
        </w:rPr>
        <w:t xml:space="preserve">Every account, and every portion of an account, that is not a Named and Approved Account of the Sales Representative is non-commissionable. No designation, writing, or other action by MMG is required to make or keep an account non-commissionable.</w:t>
      </w:r>
    </w:p>
    <w:p>
      <w:pPr>
        <w:pStyle w:val="ListParagraph"/>
        <w:numPr>
          <w:ilvl w:val="0"/>
          <w:numId w:val="2"/>
        </w:numPr>
        <w:spacing w:after="140" w:line="300"/>
      </w:pPr>
      <w:r>
        <w:rPr>
          <w:rFonts w:ascii="Open Sans" w:cs="Open Sans" w:eastAsia="Open Sans" w:hAnsi="Open Sans"/>
          <w:b/>
          <w:bCs/>
          <w:color w:val="1D1D1B"/>
          <w:sz w:val="21"/>
          <w:szCs w:val="21"/>
        </w:rPr>
        <w:t xml:space="preserve">“Term” </w:t>
      </w:r>
      <w:r>
        <w:rPr>
          <w:rFonts w:ascii="Open Sans" w:cs="Open Sans" w:eastAsia="Open Sans" w:hAnsi="Open Sans"/>
          <w:color w:val="1D1D1B"/>
          <w:sz w:val="21"/>
          <w:szCs w:val="21"/>
        </w:rPr>
        <w:t xml:space="preserve">means the fixed period beginning September 1, 2026 and ending December 31, 2026, as further described in Section 3. This Agreement does not renew automatically.</w:t>
      </w:r>
    </w:p>
    <w:p>
      <w:pPr>
        <w:pStyle w:val="ListParagraph"/>
        <w:numPr>
          <w:ilvl w:val="0"/>
          <w:numId w:val="2"/>
        </w:numPr>
        <w:spacing w:after="140" w:line="300"/>
      </w:pPr>
      <w:r>
        <w:rPr>
          <w:rFonts w:ascii="Open Sans" w:cs="Open Sans" w:eastAsia="Open Sans" w:hAnsi="Open Sans"/>
          <w:b/>
          <w:bCs/>
          <w:color w:val="1D1D1B"/>
          <w:sz w:val="21"/>
          <w:szCs w:val="21"/>
        </w:rPr>
        <w:t xml:space="preserve">“Commission Rate” </w:t>
      </w:r>
      <w:r>
        <w:rPr>
          <w:rFonts w:ascii="Open Sans" w:cs="Open Sans" w:eastAsia="Open Sans" w:hAnsi="Open Sans"/>
          <w:color w:val="1D1D1B"/>
          <w:sz w:val="21"/>
          <w:szCs w:val="21"/>
        </w:rPr>
        <w:t xml:space="preserve">means the flat rate set out in Section 5.2, applied to Approved Contract Value (Revenue) for engagements approved during the Term — except that Section 5.4 applies instead for any engagement with a Gross Margin % below 30%.</w:t>
      </w:r>
    </w:p>
    <w:p>
      <w:pPr>
        <w:pStyle w:val="ListParagraph"/>
        <w:numPr>
          <w:ilvl w:val="0"/>
          <w:numId w:val="2"/>
        </w:numPr>
        <w:spacing w:after="140" w:line="300"/>
      </w:pPr>
      <w:r>
        <w:rPr>
          <w:rFonts w:ascii="Open Sans" w:cs="Open Sans" w:eastAsia="Open Sans" w:hAnsi="Open Sans"/>
          <w:b/>
          <w:bCs/>
          <w:color w:val="1D1D1B"/>
          <w:sz w:val="21"/>
          <w:szCs w:val="21"/>
        </w:rPr>
        <w:t xml:space="preserve">“Net Customer Payment” </w:t>
      </w:r>
      <w:r>
        <w:rPr>
          <w:rFonts w:ascii="Open Sans" w:cs="Open Sans" w:eastAsia="Open Sans" w:hAnsi="Open Sans"/>
          <w:color w:val="1D1D1B"/>
          <w:sz w:val="21"/>
          <w:szCs w:val="21"/>
        </w:rPr>
        <w:t xml:space="preserve">means amounts actually received by MMG from the customer, net of refunds, credits, and chargebacks.</w:t>
      </w:r>
    </w:p>
    <w:p>
      <w:pPr>
        <w:pStyle w:val="ListParagraph"/>
        <w:numPr>
          <w:ilvl w:val="0"/>
          <w:numId w:val="2"/>
        </w:numPr>
        <w:spacing w:after="140" w:line="300"/>
      </w:pPr>
      <w:r>
        <w:rPr>
          <w:rFonts w:ascii="Open Sans" w:cs="Open Sans" w:eastAsia="Open Sans" w:hAnsi="Open Sans"/>
          <w:b/>
          <w:bCs/>
          <w:color w:val="1D1D1B"/>
          <w:sz w:val="21"/>
          <w:szCs w:val="21"/>
        </w:rPr>
        <w:t xml:space="preserve">“MMG IP” </w:t>
      </w:r>
      <w:r>
        <w:rPr>
          <w:rFonts w:ascii="Open Sans" w:cs="Open Sans" w:eastAsia="Open Sans" w:hAnsi="Open Sans"/>
          <w:color w:val="1D1D1B"/>
          <w:sz w:val="21"/>
          <w:szCs w:val="21"/>
        </w:rPr>
        <w:t xml:space="preserve">means all methodologies, frameworks, templates, tools, pricing models, training content, playbooks, software, and other work product owned or developed by MMG, whether created before or during the Term, including any improvements or derivatives the Sales Representative contributes to while performing under this Agreement.</w:t>
      </w:r>
    </w:p>
    <w:p>
      <w:pPr>
        <w:pStyle w:val="ListParagraph"/>
        <w:numPr>
          <w:ilvl w:val="0"/>
          <w:numId w:val="2"/>
        </w:numPr>
        <w:spacing w:after="140" w:line="300"/>
      </w:pPr>
      <w:r>
        <w:rPr>
          <w:rFonts w:ascii="Open Sans" w:cs="Open Sans" w:eastAsia="Open Sans" w:hAnsi="Open Sans"/>
          <w:b/>
          <w:bCs/>
          <w:color w:val="1D1D1B"/>
          <w:sz w:val="21"/>
          <w:szCs w:val="21"/>
        </w:rPr>
        <w:t xml:space="preserve">“Customer IP” </w:t>
      </w:r>
      <w:r>
        <w:rPr>
          <w:rFonts w:ascii="Open Sans" w:cs="Open Sans" w:eastAsia="Open Sans" w:hAnsi="Open Sans"/>
          <w:color w:val="1D1D1B"/>
          <w:sz w:val="21"/>
          <w:szCs w:val="21"/>
        </w:rPr>
        <w:t xml:space="preserve">means all data, content, materials, and confidential information belonging to MMG’s customers or prospects that the Sales Representative accesses or receives in the course of performing under this Agreement.</w:t>
      </w:r>
    </w:p>
    <w:p>
      <w:pPr>
        <w:pStyle w:val="ListParagraph"/>
        <w:numPr>
          <w:ilvl w:val="0"/>
          <w:numId w:val="2"/>
        </w:numPr>
        <w:spacing w:after="140" w:line="300"/>
      </w:pPr>
      <w:r>
        <w:rPr>
          <w:rFonts w:ascii="Open Sans" w:cs="Open Sans" w:eastAsia="Open Sans" w:hAnsi="Open Sans"/>
          <w:b/>
          <w:bCs/>
          <w:color w:val="1D1D1B"/>
          <w:sz w:val="21"/>
          <w:szCs w:val="21"/>
        </w:rPr>
        <w:t xml:space="preserve">“Competing Business” </w:t>
      </w:r>
      <w:r>
        <w:rPr>
          <w:rFonts w:ascii="Open Sans" w:cs="Open Sans" w:eastAsia="Open Sans" w:hAnsi="Open Sans"/>
          <w:color w:val="1D1D1B"/>
          <w:sz w:val="21"/>
          <w:szCs w:val="21"/>
        </w:rPr>
        <w:t xml:space="preserve">means any business, employment, consulting engagement, or other paid or unpaid role that provides services materially similar to MMG’s services (learning and development, training content, instructional design, or related consulting) to any business customer or prospect.</w:t>
      </w:r>
    </w:p>
    <w:p>
      <w:pPr>
        <w:pBdr>
          <w:left w:val="single" w:color="FF97A9" w:sz="24" w:space="4"/>
        </w:pBdr>
        <w:shd w:fill="FFF0F3" w:val="clear"/>
        <w:spacing w:after="200" w:before="120" w:line="300"/>
        <w:ind w:left="200" w:right="200"/>
      </w:pPr>
      <w:r>
        <w:rPr>
          <w:rFonts w:ascii="Open Sans" w:cs="Open Sans" w:eastAsia="Open Sans" w:hAnsi="Open Sans"/>
          <w:b/>
          <w:bCs/>
          <w:color w:val="1D1D1B"/>
          <w:sz w:val="20"/>
          <w:szCs w:val="20"/>
        </w:rPr>
        <w:t xml:space="preserve">Plain-language summary (not a substitute for the terms above): </w:t>
      </w:r>
      <w:r>
        <w:rPr>
          <w:rFonts w:ascii="Open Sans" w:cs="Open Sans" w:eastAsia="Open Sans" w:hAnsi="Open Sans"/>
          <w:color w:val="1D1D1B"/>
          <w:sz w:val="20"/>
          <w:szCs w:val="20"/>
        </w:rPr>
        <w:t xml:space="preserve">Commission is a flat percentage of revenue for the September–December 2026 Term. Before any quote goes to the customer, Bill reviews the quoted margin and signs off — that Margin Integrity Approval is what locks in the commission rate. If the quoted margin comes in under 30%, commission switches to a straight 60/40 split of the actual Gross Profit instead (MMG 60%, Sales Representative 40%) — see Section 5.4. Once approved, none of this changes based on how the project actually performs. This is a secondary, part-time role for the Sales Representative; Section 4A limits it to non-competing outside work, and Section 4B protects MMG’s and its customers’ confidential information and IP.</w:t>
      </w:r>
    </w:p>
    <w:p>
      <w:pPr>
        <w:pStyle w:val="Heading2"/>
        <w:pBdr>
          <w:bottom w:val="single" w:color="FF97A9" w:sz="12" w:space="2"/>
        </w:pBdr>
        <w:spacing w:after="140" w:before="320"/>
      </w:pPr>
      <w:r>
        <w:rPr>
          <w:rFonts w:ascii="Source Serif Pro" w:cs="Source Serif Pro" w:eastAsia="Source Serif Pro" w:hAnsi="Source Serif Pro"/>
          <w:b/>
          <w:bCs/>
          <w:color w:val="1D1D1B"/>
          <w:sz w:val="26"/>
          <w:szCs w:val="26"/>
        </w:rPr>
        <w:t xml:space="preserve">3. Term</w:t>
      </w:r>
    </w:p>
    <w:p>
      <w:pPr>
        <w:pStyle w:val="ListParagraph"/>
        <w:numPr>
          <w:ilvl w:val="0"/>
          <w:numId w:val="3"/>
        </w:numPr>
        <w:spacing w:after="140" w:line="300"/>
      </w:pPr>
      <w:r>
        <w:rPr>
          <w:rFonts w:ascii="Open Sans" w:cs="Open Sans" w:eastAsia="Open Sans" w:hAnsi="Open Sans"/>
          <w:color w:val="1D1D1B"/>
          <w:sz w:val="21"/>
          <w:szCs w:val="21"/>
        </w:rPr>
        <w:t xml:space="preserve">This Agreement is effective for the fixed Term of September 1, 2026 through December 31, 2026. There are no revenue tiers or stair-steps during the Term — the Commission Rate is a single flat percentage described in Section 5.2, reflecting that the short Term does not allow time to build toward cumulative-revenue thresholds.</w:t>
      </w:r>
    </w:p>
    <w:p>
      <w:pPr>
        <w:pStyle w:val="ListParagraph"/>
        <w:numPr>
          <w:ilvl w:val="0"/>
          <w:numId w:val="3"/>
        </w:numPr>
        <w:spacing w:after="140" w:line="300"/>
      </w:pPr>
      <w:r>
        <w:rPr>
          <w:rFonts w:ascii="Open Sans" w:cs="Open Sans" w:eastAsia="Open Sans" w:hAnsi="Open Sans"/>
          <w:color w:val="1D1D1B"/>
          <w:sz w:val="21"/>
          <w:szCs w:val="21"/>
        </w:rPr>
        <w:t xml:space="preserve">Any continuation of this arrangement beyond December 31, 2026 requires a new written agreement between the Parties.</w:t>
      </w:r>
    </w:p>
    <w:p>
      <w:pPr>
        <w:pStyle w:val="Heading2"/>
        <w:pBdr>
          <w:bottom w:val="single" w:color="FF97A9" w:sz="12" w:space="2"/>
        </w:pBdr>
        <w:spacing w:after="140" w:before="320"/>
      </w:pPr>
      <w:r>
        <w:rPr>
          <w:rFonts w:ascii="Source Serif Pro" w:cs="Source Serif Pro" w:eastAsia="Source Serif Pro" w:hAnsi="Source Serif Pro"/>
          <w:b/>
          <w:bCs/>
          <w:color w:val="1D1D1B"/>
          <w:sz w:val="26"/>
          <w:szCs w:val="26"/>
        </w:rPr>
        <w:t xml:space="preserve">4. Illustrative Example</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4000"/>
        <w:gridCol w:w="4000"/>
      </w:tblGrid>
      <w:tr>
        <w:tc>
          <w:tcPr>
            <w:tcW w:type="dxa" w:w="4000"/>
            <w:shd w:fill="1D1D1B" w:val="clear"/>
            <w:tcMar>
              <w:top w:type="dxa" w:w="80"/>
              <w:left w:type="dxa" w:w="120"/>
              <w:bottom w:type="dxa" w:w="80"/>
              <w:right w:type="dxa" w:w="120"/>
            </w:tcMar>
          </w:tcPr>
          <w:p>
            <w:r>
              <w:rPr>
                <w:rFonts w:ascii="Open Sans" w:cs="Open Sans" w:eastAsia="Open Sans" w:hAnsi="Open Sans"/>
                <w:b/>
                <w:bCs/>
                <w:color w:val="FFFFFF"/>
                <w:sz w:val="20"/>
                <w:szCs w:val="20"/>
              </w:rPr>
              <w:t xml:space="preserve">Item</w:t>
            </w:r>
          </w:p>
        </w:tc>
        <w:tc>
          <w:tcPr>
            <w:tcW w:type="dxa" w:w="4000"/>
            <w:shd w:fill="1D1D1B" w:val="clear"/>
            <w:tcMar>
              <w:top w:type="dxa" w:w="80"/>
              <w:left w:type="dxa" w:w="120"/>
              <w:bottom w:type="dxa" w:w="80"/>
              <w:right w:type="dxa" w:w="120"/>
            </w:tcMar>
          </w:tcPr>
          <w:p>
            <w:r>
              <w:rPr>
                <w:rFonts w:ascii="Open Sans" w:cs="Open Sans" w:eastAsia="Open Sans" w:hAnsi="Open Sans"/>
                <w:b/>
                <w:bCs/>
                <w:color w:val="FFFFFF"/>
                <w:sz w:val="20"/>
                <w:szCs w:val="20"/>
              </w:rPr>
              <w:t xml:space="preserve">Amount</w:t>
            </w:r>
          </w:p>
        </w:tc>
      </w:tr>
      <w:tr>
        <w:tc>
          <w:tcPr>
            <w:tcW w:type="dxa" w:w="40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Approved Contract Value (Sales Price)</w:t>
            </w:r>
          </w:p>
        </w:tc>
        <w:tc>
          <w:tcPr>
            <w:tcW w:type="dxa" w:w="40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$100,000</w:t>
            </w:r>
          </w:p>
        </w:tc>
      </w:tr>
      <w:tr>
        <w:tc>
          <w:tcPr>
            <w:tcW w:type="dxa" w:w="40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Approved Direct Delivery Costs</w:t>
            </w:r>
          </w:p>
        </w:tc>
        <w:tc>
          <w:tcPr>
            <w:tcW w:type="dxa" w:w="40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$55,000</w:t>
            </w:r>
          </w:p>
        </w:tc>
      </w:tr>
      <w:tr>
        <w:tc>
          <w:tcPr>
            <w:tcW w:type="dxa" w:w="40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Gross Margin %</w:t>
            </w:r>
          </w:p>
        </w:tc>
        <w:tc>
          <w:tcPr>
            <w:tcW w:type="dxa" w:w="40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45%</w:t>
            </w:r>
          </w:p>
        </w:tc>
      </w:tr>
      <w:tr>
        <w:tc>
          <w:tcPr>
            <w:tcW w:type="dxa" w:w="4000"/>
            <w:shd w:fill="FFE4EA" w:val="clear"/>
            <w:tcMar>
              <w:top w:type="dxa" w:w="80"/>
              <w:left w:type="dxa" w:w="120"/>
              <w:bottom w:type="dxa" w:w="80"/>
              <w:right w:type="dxa" w:w="120"/>
            </w:tcMar>
          </w:tcPr>
          <w:p>
            <w:r>
              <w:rPr>
                <w:rFonts w:ascii="Open Sans" w:cs="Open Sans" w:eastAsia="Open Sans" w:hAnsi="Open Sans"/>
                <w:b/>
                <w:bCs/>
                <w:color w:val="1D1D1B"/>
                <w:sz w:val="20"/>
                <w:szCs w:val="20"/>
              </w:rPr>
              <w:t xml:space="preserve">Commission (flat rate)</w:t>
            </w:r>
          </w:p>
        </w:tc>
        <w:tc>
          <w:tcPr>
            <w:tcW w:type="dxa" w:w="4000"/>
            <w:shd w:fill="FFE4EA" w:val="clear"/>
            <w:tcMar>
              <w:top w:type="dxa" w:w="80"/>
              <w:left w:type="dxa" w:w="120"/>
              <w:bottom w:type="dxa" w:w="80"/>
              <w:right w:type="dxa" w:w="120"/>
            </w:tcMar>
          </w:tcPr>
          <w:p>
            <w:r>
              <w:rPr>
                <w:rFonts w:ascii="Open Sans" w:cs="Open Sans" w:eastAsia="Open Sans" w:hAnsi="Open Sans"/>
                <w:b/>
                <w:bCs/>
                <w:color w:val="1D1D1B"/>
                <w:sz w:val="20"/>
                <w:szCs w:val="20"/>
              </w:rPr>
              <w:t xml:space="preserve">12% × $100,000 = $12,000</w:t>
            </w:r>
          </w:p>
        </w:tc>
      </w:tr>
    </w:tbl>
    <w:p>
      <w:pPr>
        <w:spacing w:after="160" w:line="300"/>
      </w:pPr>
      <w:r>
        <w:rPr>
          <w:rFonts w:ascii="Open Sans" w:cs="Open Sans" w:eastAsia="Open Sans" w:hAnsi="Open Sans"/>
          <w:color w:val="1D1D1B"/>
          <w:sz w:val="21"/>
          <w:szCs w:val="21"/>
        </w:rPr>
        <w:t xml:space="preserve">Whether the project later runs over or under budget, the commission is fixed at the amount set when Margin Integrity Approval was granted. See Section 5.4 for how a thin-margin quote (below 30%) is handled instead.</w:t>
      </w:r>
    </w:p>
    <w:p>
      <w:pPr>
        <w:pStyle w:val="Heading2"/>
        <w:pBdr>
          <w:bottom w:val="single" w:color="FF97A9" w:sz="12" w:space="2"/>
        </w:pBdr>
        <w:spacing w:after="140" w:before="320"/>
      </w:pPr>
      <w:r>
        <w:rPr>
          <w:rFonts w:ascii="Source Serif Pro" w:cs="Source Serif Pro" w:eastAsia="Source Serif Pro" w:hAnsi="Source Serif Pro"/>
          <w:b/>
          <w:bCs/>
          <w:color w:val="1D1D1B"/>
          <w:sz w:val="26"/>
          <w:szCs w:val="26"/>
        </w:rPr>
        <w:t xml:space="preserve">5. Commission Plan — Named and Approved Accounts</w:t>
      </w:r>
    </w:p>
    <w:p>
      <w:pPr>
        <w:pStyle w:val="ListParagraph"/>
        <w:numPr>
          <w:ilvl w:val="0"/>
          <w:numId w:val="4"/>
        </w:numPr>
        <w:spacing w:after="140" w:line="300"/>
      </w:pPr>
      <w:r>
        <w:rPr>
          <w:rFonts w:ascii="Open Sans" w:cs="Open Sans" w:eastAsia="Open Sans" w:hAnsi="Open Sans"/>
          <w:b/>
          <w:bCs/>
          <w:color w:val="1D1D1B"/>
          <w:sz w:val="21"/>
          <w:szCs w:val="21"/>
        </w:rPr>
        <w:t xml:space="preserve">Scope — approval required. </w:t>
      </w:r>
      <w:r>
        <w:rPr>
          <w:rFonts w:ascii="Open Sans" w:cs="Open Sans" w:eastAsia="Open Sans" w:hAnsi="Open Sans"/>
          <w:color w:val="1D1D1B"/>
          <w:sz w:val="21"/>
          <w:szCs w:val="21"/>
        </w:rPr>
        <w:t xml:space="preserve">Commissions are earned only on Named and Approved Account engagements sold by the Sales Representative and accepted by MMG. The Sales Representative must request account approval in writing before pursuing commissionable business; MMG may approve, deny, or scope the request (including limiting approval to a specific division, business unit, buying group, or opportunity within a larger account) in its sole discretion. All other business is non-commissionable by default.</w:t>
      </w:r>
    </w:p>
    <w:p>
      <w:pPr>
        <w:pStyle w:val="ListParagraph"/>
        <w:numPr>
          <w:ilvl w:val="0"/>
          <w:numId w:val="4"/>
        </w:numPr>
        <w:spacing w:after="140" w:line="300"/>
      </w:pPr>
      <w:r>
        <w:rPr>
          <w:rFonts w:ascii="Open Sans" w:cs="Open Sans" w:eastAsia="Open Sans" w:hAnsi="Open Sans"/>
          <w:b/>
          <w:bCs/>
          <w:color w:val="1D1D1B"/>
          <w:sz w:val="21"/>
          <w:szCs w:val="21"/>
        </w:rPr>
        <w:t xml:space="preserve">Flat revenue rate. </w:t>
      </w:r>
      <w:r>
        <w:rPr>
          <w:rFonts w:ascii="Open Sans" w:cs="Open Sans" w:eastAsia="Open Sans" w:hAnsi="Open Sans"/>
          <w:color w:val="1D1D1B"/>
          <w:sz w:val="21"/>
          <w:szCs w:val="21"/>
        </w:rPr>
        <w:t xml:space="preserve">The Commission Rate for the Term is a flat 12% of Approved Contract Value (Revenue) on every Named and Approved Account engagement approved during the Term — there is no tier schedule and no cumulative-revenue threshold to cross.</w:t>
      </w:r>
    </w:p>
    <w:p>
      <w:pPr>
        <w:pStyle w:val="ListParagraph"/>
        <w:numPr>
          <w:ilvl w:val="0"/>
          <w:numId w:val="4"/>
        </w:numPr>
        <w:spacing w:after="140" w:line="300"/>
      </w:pPr>
      <w:r>
        <w:rPr>
          <w:rFonts w:ascii="Open Sans" w:cs="Open Sans" w:eastAsia="Open Sans" w:hAnsi="Open Sans"/>
          <w:b/>
          <w:bCs/>
          <w:color w:val="1D1D1B"/>
          <w:sz w:val="21"/>
          <w:szCs w:val="21"/>
        </w:rPr>
        <w:t xml:space="preserve">Margin Integrity Approval — required on every quote, before the rate is agreed. </w:t>
      </w:r>
      <w:r>
        <w:rPr>
          <w:rFonts w:ascii="Open Sans" w:cs="Open Sans" w:eastAsia="Open Sans" w:hAnsi="Open Sans"/>
          <w:color w:val="1D1D1B"/>
          <w:sz w:val="21"/>
          <w:szCs w:val="21"/>
        </w:rPr>
        <w:t xml:space="preserve">Before any customer proposal is sent and before a Commission Rate is agreed for that engagement, Bill Gusmano (or his written designee) must review the Gross Margin % shown on the Approved Pricing Worksheet and grant Margin Integrity Approval in writing. No commission accrues on an engagement lacking Margin Integrity Approval.</w:t>
      </w:r>
    </w:p>
    <w:p>
      <w:pPr>
        <w:pStyle w:val="ListParagraph"/>
        <w:numPr>
          <w:ilvl w:val="0"/>
          <w:numId w:val="4"/>
        </w:numPr>
        <w:spacing w:after="140" w:line="300"/>
      </w:pPr>
      <w:r>
        <w:rPr>
          <w:rFonts w:ascii="Open Sans" w:cs="Open Sans" w:eastAsia="Open Sans" w:hAnsi="Open Sans"/>
          <w:b/>
          <w:bCs/>
          <w:color w:val="1D1D1B"/>
          <w:sz w:val="21"/>
          <w:szCs w:val="21"/>
        </w:rPr>
        <w:t xml:space="preserve">Margin protection below 30%. </w:t>
      </w:r>
      <w:r>
        <w:rPr>
          <w:rFonts w:ascii="Open Sans" w:cs="Open Sans" w:eastAsia="Open Sans" w:hAnsi="Open Sans"/>
          <w:color w:val="1D1D1B"/>
          <w:sz w:val="21"/>
          <w:szCs w:val="21"/>
        </w:rPr>
        <w:t xml:space="preserve">If the Gross Margin % shown on the Approved Pricing Worksheet is below 30%, this engagement is commissioned on Gross Profit instead of Revenue, split 60/40 between MMG and the Sales Representative: commission = 40% of the engagement’s Gross Profit (Approved Contract Value less Approved Direct Delivery Costs), with MMG retaining the remaining 60%. For example, a $100,000 quote at 25% Gross Margin has Gross Profit of $25,000, so commission is 40% × $25,000 = $10,000. This scales automatically with how thin the margin is — it is not a flat penalty.</w:t>
      </w:r>
    </w:p>
    <w:p>
      <w:pPr>
        <w:pStyle w:val="ListParagraph"/>
        <w:numPr>
          <w:ilvl w:val="0"/>
          <w:numId w:val="4"/>
        </w:numPr>
        <w:spacing w:after="140" w:line="300"/>
      </w:pPr>
      <w:r>
        <w:rPr>
          <w:rFonts w:ascii="Open Sans" w:cs="Open Sans" w:eastAsia="Open Sans" w:hAnsi="Open Sans"/>
          <w:color w:val="1D1D1B"/>
          <w:sz w:val="21"/>
          <w:szCs w:val="21"/>
        </w:rPr>
        <w:t xml:space="preserve">The applicable Commission Rate or Gross Profit split for an engagement is fixed at Margin Integrity Approval, based on the Gross Margin % at that time, and is stated on the Approved Pricing Worksheet.</w:t>
      </w:r>
    </w:p>
    <w:p>
      <w:pPr>
        <w:pStyle w:val="ListParagraph"/>
        <w:numPr>
          <w:ilvl w:val="0"/>
          <w:numId w:val="4"/>
        </w:numPr>
        <w:spacing w:after="140" w:line="300"/>
      </w:pPr>
      <w:r>
        <w:rPr>
          <w:rFonts w:ascii="Open Sans" w:cs="Open Sans" w:eastAsia="Open Sans" w:hAnsi="Open Sans"/>
          <w:color w:val="1D1D1B"/>
          <w:sz w:val="21"/>
          <w:szCs w:val="21"/>
        </w:rPr>
        <w:t xml:space="preserve">No commission accrues on any proposal that lacks both an Approved Pricing Worksheet and Margin Integrity Approval. MMG will prepare a pricing worksheet, and obtain Margin Integrity Approval, for every proposal before it is sent to the customer.</w:t>
      </w:r>
    </w:p>
    <w:p>
      <w:pPr>
        <w:pStyle w:val="ListParagraph"/>
        <w:numPr>
          <w:ilvl w:val="0"/>
          <w:numId w:val="4"/>
        </w:numPr>
        <w:spacing w:after="140" w:line="300"/>
      </w:pPr>
      <w:r>
        <w:rPr>
          <w:rFonts w:ascii="Open Sans" w:cs="Open Sans" w:eastAsia="Open Sans" w:hAnsi="Open Sans"/>
          <w:color w:val="1D1D1B"/>
          <w:sz w:val="21"/>
          <w:szCs w:val="21"/>
        </w:rPr>
        <w:t xml:space="preserve">Actual project profitability — favorable or unfavorable — has no effect on commissions once Margin Integrity Approval is granted. Cost overruns, scope creep absorbed without a Change Order, staffing decisions, vendor changes, internal inefficiencies, and write-offs neither reduce nor increase the commission basis.</w:t>
      </w:r>
    </w:p>
    <w:p>
      <w:pPr>
        <w:pStyle w:val="ListParagraph"/>
        <w:numPr>
          <w:ilvl w:val="0"/>
          <w:numId w:val="4"/>
        </w:numPr>
        <w:spacing w:after="140" w:line="300"/>
      </w:pPr>
      <w:r>
        <w:rPr>
          <w:rFonts w:ascii="Open Sans" w:cs="Open Sans" w:eastAsia="Open Sans" w:hAnsi="Open Sans"/>
          <w:color w:val="1D1D1B"/>
          <w:sz w:val="21"/>
          <w:szCs w:val="21"/>
        </w:rPr>
        <w:t xml:space="preserve">Discounts approved by MMG management before Margin Integrity Approval are reflected in the Approved Contract Value and Gross Margin % used for that approval. Post-approval discounts or concessions granted by MMG without a Change Order do not change the Commission Rate.</w:t>
      </w:r>
    </w:p>
    <w:p>
      <w:pPr>
        <w:pStyle w:val="Heading2"/>
        <w:pBdr>
          <w:bottom w:val="single" w:color="FF97A9" w:sz="12" w:space="2"/>
        </w:pBdr>
        <w:spacing w:after="140" w:before="320"/>
      </w:pPr>
      <w:r>
        <w:rPr>
          <w:rFonts w:ascii="Source Serif Pro" w:cs="Source Serif Pro" w:eastAsia="Source Serif Pro" w:hAnsi="Source Serif Pro"/>
          <w:b/>
          <w:bCs/>
          <w:color w:val="1D1D1B"/>
          <w:sz w:val="26"/>
          <w:szCs w:val="26"/>
        </w:rPr>
        <w:t xml:space="preserve">4A. Exclusivity — No Competing Business</w:t>
      </w:r>
    </w:p>
    <w:p>
      <w:pPr>
        <w:pStyle w:val="ListParagraph"/>
        <w:numPr>
          <w:ilvl w:val="0"/>
          <w:numId w:val="5"/>
        </w:numPr>
        <w:spacing w:after="140" w:line="300"/>
      </w:pPr>
      <w:r>
        <w:rPr>
          <w:rFonts w:ascii="Open Sans" w:cs="Open Sans" w:eastAsia="Open Sans" w:hAnsi="Open Sans"/>
          <w:b/>
          <w:bCs/>
          <w:color w:val="1D1D1B"/>
          <w:sz w:val="21"/>
          <w:szCs w:val="21"/>
        </w:rPr>
        <w:t xml:space="preserve">Secondary role acknowledged. </w:t>
      </w:r>
      <w:r>
        <w:rPr>
          <w:rFonts w:ascii="Open Sans" w:cs="Open Sans" w:eastAsia="Open Sans" w:hAnsi="Open Sans"/>
          <w:color w:val="1D1D1B"/>
          <w:sz w:val="21"/>
          <w:szCs w:val="21"/>
        </w:rPr>
        <w:t xml:space="preserve">The Parties acknowledge the Sales Representative may hold a primary job or other primary source of income during the Term, and that this Agreement is a secondary, part-time role. MMG does not require this role to be the Sales Representative’s primary employment.</w:t>
      </w:r>
    </w:p>
    <w:p>
      <w:pPr>
        <w:pStyle w:val="ListParagraph"/>
        <w:numPr>
          <w:ilvl w:val="0"/>
          <w:numId w:val="5"/>
        </w:numPr>
        <w:spacing w:after="140" w:line="300"/>
      </w:pPr>
      <w:r>
        <w:rPr>
          <w:rFonts w:ascii="Open Sans" w:cs="Open Sans" w:eastAsia="Open Sans" w:hAnsi="Open Sans"/>
          <w:b/>
          <w:bCs/>
          <w:color w:val="1D1D1B"/>
          <w:sz w:val="21"/>
          <w:szCs w:val="21"/>
        </w:rPr>
        <w:t xml:space="preserve">No Competing Business, in any capacity, during the Term. </w:t>
      </w:r>
      <w:r>
        <w:rPr>
          <w:rFonts w:ascii="Open Sans" w:cs="Open Sans" w:eastAsia="Open Sans" w:hAnsi="Open Sans"/>
          <w:color w:val="1D1D1B"/>
          <w:sz w:val="21"/>
          <w:szCs w:val="21"/>
        </w:rPr>
        <w:t xml:space="preserve">Notwithstanding item 1 above, during the Term the Sales Representative shall not, directly or indirectly, own, operate, be employed by, consult for, or otherwise provide services to any Competing Business, whether as an employee, contractor, consultant, partner, or owner, and whether paid or unpaid. This restriction applies regardless of whether the Sales Representative’s primary job is with a Competing Business or a non-competing business — a primary job is permitted only if it is not a Competing Business.</w:t>
      </w:r>
    </w:p>
    <w:p>
      <w:pPr>
        <w:pStyle w:val="ListParagraph"/>
        <w:numPr>
          <w:ilvl w:val="0"/>
          <w:numId w:val="5"/>
        </w:numPr>
        <w:spacing w:after="140" w:line="300"/>
      </w:pPr>
      <w:r>
        <w:rPr>
          <w:rFonts w:ascii="Open Sans" w:cs="Open Sans" w:eastAsia="Open Sans" w:hAnsi="Open Sans"/>
          <w:b/>
          <w:bCs/>
          <w:color w:val="1D1D1B"/>
          <w:sz w:val="21"/>
          <w:szCs w:val="21"/>
        </w:rPr>
        <w:t xml:space="preserve">No solicitation of MMG customers or prospects. </w:t>
      </w:r>
      <w:r>
        <w:rPr>
          <w:rFonts w:ascii="Open Sans" w:cs="Open Sans" w:eastAsia="Open Sans" w:hAnsi="Open Sans"/>
          <w:color w:val="1D1D1B"/>
          <w:sz w:val="21"/>
          <w:szCs w:val="21"/>
        </w:rPr>
        <w:t xml:space="preserve">During the Term and for twelve (12) months after its end, the Sales Representative shall not solicit, on behalf of any Competing Business, any customer or prospect the Sales Representative worked with, was introduced to, or received Customer IP about, in the course of performing under this Agreement.</w:t>
      </w:r>
    </w:p>
    <w:p>
      <w:pPr>
        <w:pStyle w:val="ListParagraph"/>
        <w:numPr>
          <w:ilvl w:val="0"/>
          <w:numId w:val="5"/>
        </w:numPr>
        <w:spacing w:after="140" w:line="300"/>
      </w:pPr>
      <w:r>
        <w:rPr>
          <w:rFonts w:ascii="Open Sans" w:cs="Open Sans" w:eastAsia="Open Sans" w:hAnsi="Open Sans"/>
          <w:b/>
          <w:bCs/>
          <w:color w:val="1D1D1B"/>
          <w:sz w:val="21"/>
          <w:szCs w:val="21"/>
        </w:rPr>
        <w:t xml:space="preserve">No solicitation of MMG personnel. </w:t>
      </w:r>
      <w:r>
        <w:rPr>
          <w:rFonts w:ascii="Open Sans" w:cs="Open Sans" w:eastAsia="Open Sans" w:hAnsi="Open Sans"/>
          <w:color w:val="1D1D1B"/>
          <w:sz w:val="21"/>
          <w:szCs w:val="21"/>
        </w:rPr>
        <w:t xml:space="preserve">During the Term and for twelve (12) months after its end, the Sales Representative shall not solicit any MMG employee or contractor to leave MMG or to join a Competing Business.</w:t>
      </w:r>
    </w:p>
    <w:p>
      <w:pPr>
        <w:pStyle w:val="ListParagraph"/>
        <w:numPr>
          <w:ilvl w:val="0"/>
          <w:numId w:val="5"/>
        </w:numPr>
        <w:spacing w:after="140" w:line="300"/>
      </w:pPr>
      <w:r>
        <w:rPr>
          <w:rFonts w:ascii="Open Sans" w:cs="Open Sans" w:eastAsia="Open Sans" w:hAnsi="Open Sans"/>
          <w:b/>
          <w:bCs/>
          <w:color w:val="1D1D1B"/>
          <w:sz w:val="21"/>
          <w:szCs w:val="21"/>
        </w:rPr>
        <w:t xml:space="preserve">Disclosure obligation. </w:t>
      </w:r>
      <w:r>
        <w:rPr>
          <w:rFonts w:ascii="Open Sans" w:cs="Open Sans" w:eastAsia="Open Sans" w:hAnsi="Open Sans"/>
          <w:color w:val="1D1D1B"/>
          <w:sz w:val="21"/>
          <w:szCs w:val="21"/>
        </w:rPr>
        <w:t xml:space="preserve">The Sales Representative shall promptly disclose to MMG in writing any new primary or secondary employment, consulting arrangement, or business ownership entered into during the Term, so MMG can confirm it is not a Competing Business.</w:t>
      </w:r>
    </w:p>
    <w:p>
      <w:pPr>
        <w:pStyle w:val="ListParagraph"/>
        <w:numPr>
          <w:ilvl w:val="0"/>
          <w:numId w:val="5"/>
        </w:numPr>
        <w:spacing w:after="140" w:line="300"/>
      </w:pPr>
      <w:r>
        <w:rPr>
          <w:rFonts w:ascii="Open Sans" w:cs="Open Sans" w:eastAsia="Open Sans" w:hAnsi="Open Sans"/>
          <w:b/>
          <w:bCs/>
          <w:color w:val="1D1D1B"/>
          <w:sz w:val="21"/>
          <w:szCs w:val="21"/>
        </w:rPr>
        <w:t xml:space="preserve">Remedy. </w:t>
      </w:r>
      <w:r>
        <w:rPr>
          <w:rFonts w:ascii="Open Sans" w:cs="Open Sans" w:eastAsia="Open Sans" w:hAnsi="Open Sans"/>
          <w:color w:val="1D1D1B"/>
          <w:sz w:val="21"/>
          <w:szCs w:val="21"/>
        </w:rPr>
        <w:t xml:space="preserve">A breach of this section is grounds for immediate termination under Section 8 and forfeiture of unpaid commissions on engagements not yet paid as of the breach, in addition to any other remedy available to MMG at law or in equity.</w:t>
      </w:r>
    </w:p>
    <w:p>
      <w:pPr>
        <w:pStyle w:val="Heading2"/>
        <w:pBdr>
          <w:bottom w:val="single" w:color="FF97A9" w:sz="12" w:space="2"/>
        </w:pBdr>
        <w:spacing w:after="140" w:before="320"/>
      </w:pPr>
      <w:r>
        <w:rPr>
          <w:rFonts w:ascii="Source Serif Pro" w:cs="Source Serif Pro" w:eastAsia="Source Serif Pro" w:hAnsi="Source Serif Pro"/>
          <w:b/>
          <w:bCs/>
          <w:color w:val="1D1D1B"/>
          <w:sz w:val="26"/>
          <w:szCs w:val="26"/>
        </w:rPr>
        <w:t xml:space="preserve">4B. Confidentiality and Intellectual Property</w:t>
      </w:r>
    </w:p>
    <w:p>
      <w:pPr>
        <w:pStyle w:val="ListParagraph"/>
        <w:numPr>
          <w:ilvl w:val="0"/>
          <w:numId w:val="6"/>
        </w:numPr>
        <w:spacing w:after="140" w:line="300"/>
      </w:pPr>
      <w:r>
        <w:rPr>
          <w:rFonts w:ascii="Open Sans" w:cs="Open Sans" w:eastAsia="Open Sans" w:hAnsi="Open Sans"/>
          <w:b/>
          <w:bCs/>
          <w:color w:val="1D1D1B"/>
          <w:sz w:val="21"/>
          <w:szCs w:val="21"/>
        </w:rPr>
        <w:t xml:space="preserve">Ownership of MMG IP. </w:t>
      </w:r>
      <w:r>
        <w:rPr>
          <w:rFonts w:ascii="Open Sans" w:cs="Open Sans" w:eastAsia="Open Sans" w:hAnsi="Open Sans"/>
          <w:color w:val="1D1D1B"/>
          <w:sz w:val="21"/>
          <w:szCs w:val="21"/>
        </w:rPr>
        <w:t xml:space="preserve">MMG IP is and remains the sole property of MMG. Nothing in this Agreement transfers any ownership interest in MMG IP to the Sales Representative. Any improvement, derivative, or feedback the Sales Representative contributes to MMG IP while performing under this Agreement is assigned to, and owned exclusively by, MMG.</w:t>
      </w:r>
    </w:p>
    <w:p>
      <w:pPr>
        <w:pStyle w:val="ListParagraph"/>
        <w:numPr>
          <w:ilvl w:val="0"/>
          <w:numId w:val="6"/>
        </w:numPr>
        <w:spacing w:after="140" w:line="300"/>
      </w:pPr>
      <w:r>
        <w:rPr>
          <w:rFonts w:ascii="Open Sans" w:cs="Open Sans" w:eastAsia="Open Sans" w:hAnsi="Open Sans"/>
          <w:b/>
          <w:bCs/>
          <w:color w:val="1D1D1B"/>
          <w:sz w:val="21"/>
          <w:szCs w:val="21"/>
        </w:rPr>
        <w:t xml:space="preserve">Ownership of Customer IP. </w:t>
      </w:r>
      <w:r>
        <w:rPr>
          <w:rFonts w:ascii="Open Sans" w:cs="Open Sans" w:eastAsia="Open Sans" w:hAnsi="Open Sans"/>
          <w:color w:val="1D1D1B"/>
          <w:sz w:val="21"/>
          <w:szCs w:val="21"/>
        </w:rPr>
        <w:t xml:space="preserve">Customer IP remains the property of the applicable MMG customer or prospect. The Sales Representative may access and use Customer IP solely to perform under this Agreement, and for no other purpose.</w:t>
      </w:r>
    </w:p>
    <w:p>
      <w:pPr>
        <w:pStyle w:val="ListParagraph"/>
        <w:numPr>
          <w:ilvl w:val="0"/>
          <w:numId w:val="6"/>
        </w:numPr>
        <w:spacing w:after="140" w:line="300"/>
      </w:pPr>
      <w:r>
        <w:rPr>
          <w:rFonts w:ascii="Open Sans" w:cs="Open Sans" w:eastAsia="Open Sans" w:hAnsi="Open Sans"/>
          <w:b/>
          <w:bCs/>
          <w:color w:val="1D1D1B"/>
          <w:sz w:val="21"/>
          <w:szCs w:val="21"/>
        </w:rPr>
        <w:t xml:space="preserve">Confidentiality. </w:t>
      </w:r>
      <w:r>
        <w:rPr>
          <w:rFonts w:ascii="Open Sans" w:cs="Open Sans" w:eastAsia="Open Sans" w:hAnsi="Open Sans"/>
          <w:color w:val="1D1D1B"/>
          <w:sz w:val="21"/>
          <w:szCs w:val="21"/>
        </w:rPr>
        <w:t xml:space="preserve">The Sales Representative shall keep MMG IP and Customer IP confidential, use it solely to perform under this Agreement, disclose it only to MMG personnel with a need to know, and not disclose it to any third party, including any current or future employer, without MMG’s prior written consent.</w:t>
      </w:r>
    </w:p>
    <w:p>
      <w:pPr>
        <w:pStyle w:val="ListParagraph"/>
        <w:numPr>
          <w:ilvl w:val="0"/>
          <w:numId w:val="6"/>
        </w:numPr>
        <w:spacing w:after="140" w:line="300"/>
      </w:pPr>
      <w:r>
        <w:rPr>
          <w:rFonts w:ascii="Open Sans" w:cs="Open Sans" w:eastAsia="Open Sans" w:hAnsi="Open Sans"/>
          <w:b/>
          <w:bCs/>
          <w:color w:val="1D1D1B"/>
          <w:sz w:val="21"/>
          <w:szCs w:val="21"/>
        </w:rPr>
        <w:t xml:space="preserve">No use outside MMG. </w:t>
      </w:r>
      <w:r>
        <w:rPr>
          <w:rFonts w:ascii="Open Sans" w:cs="Open Sans" w:eastAsia="Open Sans" w:hAnsi="Open Sans"/>
          <w:color w:val="1D1D1B"/>
          <w:sz w:val="21"/>
          <w:szCs w:val="21"/>
        </w:rPr>
        <w:t xml:space="preserve">The Sales Representative shall not use MMG IP or Customer IP for the benefit of any other employer, business, or Competing Business, during the Term or afterward.</w:t>
      </w:r>
    </w:p>
    <w:p>
      <w:pPr>
        <w:pStyle w:val="ListParagraph"/>
        <w:numPr>
          <w:ilvl w:val="0"/>
          <w:numId w:val="6"/>
        </w:numPr>
        <w:spacing w:after="140" w:line="300"/>
      </w:pPr>
      <w:r>
        <w:rPr>
          <w:rFonts w:ascii="Open Sans" w:cs="Open Sans" w:eastAsia="Open Sans" w:hAnsi="Open Sans"/>
          <w:b/>
          <w:bCs/>
          <w:color w:val="1D1D1B"/>
          <w:sz w:val="21"/>
          <w:szCs w:val="21"/>
        </w:rPr>
        <w:t xml:space="preserve">Return or destruction. </w:t>
      </w:r>
      <w:r>
        <w:rPr>
          <w:rFonts w:ascii="Open Sans" w:cs="Open Sans" w:eastAsia="Open Sans" w:hAnsi="Open Sans"/>
          <w:color w:val="1D1D1B"/>
          <w:sz w:val="21"/>
          <w:szCs w:val="21"/>
        </w:rPr>
        <w:t xml:space="preserve">Upon termination of this Agreement, or upon MMG’s request, the Sales Representative shall promptly return or destroy all materials, documents, and electronic files containing MMG IP or Customer IP, and confirm such return or destruction in writing.</w:t>
      </w:r>
    </w:p>
    <w:p>
      <w:pPr>
        <w:pStyle w:val="ListParagraph"/>
        <w:numPr>
          <w:ilvl w:val="0"/>
          <w:numId w:val="6"/>
        </w:numPr>
        <w:spacing w:after="140" w:line="300"/>
      </w:pPr>
      <w:r>
        <w:rPr>
          <w:rFonts w:ascii="Open Sans" w:cs="Open Sans" w:eastAsia="Open Sans" w:hAnsi="Open Sans"/>
          <w:b/>
          <w:bCs/>
          <w:color w:val="1D1D1B"/>
          <w:sz w:val="21"/>
          <w:szCs w:val="21"/>
        </w:rPr>
        <w:t xml:space="preserve">Survival. </w:t>
      </w:r>
      <w:r>
        <w:rPr>
          <w:rFonts w:ascii="Open Sans" w:cs="Open Sans" w:eastAsia="Open Sans" w:hAnsi="Open Sans"/>
          <w:color w:val="1D1D1B"/>
          <w:sz w:val="21"/>
          <w:szCs w:val="21"/>
        </w:rPr>
        <w:t xml:space="preserve">This section survives termination of this Agreement indefinitely as to trade secrets, and for three (3) years as to other confidential information.</w:t>
      </w:r>
    </w:p>
    <w:p>
      <w:pPr>
        <w:pStyle w:val="Heading2"/>
        <w:pBdr>
          <w:bottom w:val="single" w:color="FF97A9" w:sz="12" w:space="2"/>
        </w:pBdr>
        <w:spacing w:after="140" w:before="320"/>
      </w:pPr>
      <w:r>
        <w:rPr>
          <w:rFonts w:ascii="Source Serif Pro" w:cs="Source Serif Pro" w:eastAsia="Source Serif Pro" w:hAnsi="Source Serif Pro"/>
          <w:b/>
          <w:bCs/>
          <w:color w:val="1D1D1B"/>
          <w:sz w:val="26"/>
          <w:szCs w:val="26"/>
        </w:rPr>
        <w:t xml:space="preserve">4C. Job Responsibilities and Activities — Business Development &amp; Account Management</w:t>
      </w:r>
    </w:p>
    <w:p>
      <w:pPr>
        <w:spacing w:after="160" w:line="300"/>
      </w:pPr>
      <w:r>
        <w:rPr>
          <w:rFonts w:ascii="Open Sans" w:cs="Open Sans" w:eastAsia="Open Sans" w:hAnsi="Open Sans"/>
          <w:color w:val="1D1D1B"/>
          <w:sz w:val="21"/>
          <w:szCs w:val="21"/>
        </w:rPr>
        <w:t xml:space="preserve">The Sales Representative’s role is Business Development and Account Management. The Sales Representative is not assigned operational delivery duties (e.g., project execution, resource staffing, production work). The list below reflects the most common responsibilities for a Business Development / Account Management role of this kind, including the handful of operational-adjacent items that typically travel with the account-management side of it (marked below) — edit or strike any item as needed before execution.</w:t>
      </w:r>
    </w:p>
    <w:p>
      <w:pPr>
        <w:pStyle w:val="ListParagraph"/>
        <w:numPr>
          <w:ilvl w:val="0"/>
          <w:numId w:val="7"/>
        </w:numPr>
        <w:spacing w:after="140" w:line="300"/>
      </w:pPr>
      <w:r>
        <w:rPr>
          <w:rFonts w:ascii="Open Sans" w:cs="Open Sans" w:eastAsia="Open Sans" w:hAnsi="Open Sans"/>
          <w:b/>
          <w:bCs/>
          <w:color w:val="1D1D1B"/>
          <w:sz w:val="21"/>
          <w:szCs w:val="21"/>
        </w:rPr>
        <w:t xml:space="preserve">Pipeline reporting and forecasting. </w:t>
      </w:r>
      <w:r>
        <w:rPr>
          <w:rFonts w:ascii="Open Sans" w:cs="Open Sans" w:eastAsia="Open Sans" w:hAnsi="Open Sans"/>
          <w:color w:val="1D1D1B"/>
          <w:sz w:val="21"/>
          <w:szCs w:val="21"/>
        </w:rPr>
        <w:t xml:space="preserve">Maintain an accurate, current pipeline of opportunities within Named and Approved Accounts and provide regular forecast updates to MMG management.</w:t>
      </w:r>
    </w:p>
    <w:p>
      <w:pPr>
        <w:pStyle w:val="ListParagraph"/>
        <w:numPr>
          <w:ilvl w:val="0"/>
          <w:numId w:val="7"/>
        </w:numPr>
        <w:spacing w:after="140" w:line="300"/>
      </w:pPr>
      <w:r>
        <w:rPr>
          <w:rFonts w:ascii="Open Sans" w:cs="Open Sans" w:eastAsia="Open Sans" w:hAnsi="Open Sans"/>
          <w:b/>
          <w:bCs/>
          <w:color w:val="1D1D1B"/>
          <w:sz w:val="21"/>
          <w:szCs w:val="21"/>
        </w:rPr>
        <w:t xml:space="preserve">Quote creation and management. </w:t>
      </w:r>
      <w:r>
        <w:rPr>
          <w:rFonts w:ascii="Open Sans" w:cs="Open Sans" w:eastAsia="Open Sans" w:hAnsi="Open Sans"/>
          <w:color w:val="1D1D1B"/>
          <w:sz w:val="21"/>
          <w:szCs w:val="21"/>
        </w:rPr>
        <w:t xml:space="preserve">Prepare proposals and pricing inputs for the Approved Pricing Worksheet, and shepherd quotes through the Margin Integrity Approval process before they are sent to the customer.</w:t>
      </w:r>
    </w:p>
    <w:p>
      <w:pPr>
        <w:pStyle w:val="ListParagraph"/>
        <w:numPr>
          <w:ilvl w:val="0"/>
          <w:numId w:val="7"/>
        </w:numPr>
        <w:spacing w:after="140" w:line="300"/>
      </w:pPr>
      <w:r>
        <w:rPr>
          <w:rFonts w:ascii="Open Sans" w:cs="Open Sans" w:eastAsia="Open Sans" w:hAnsi="Open Sans"/>
          <w:b/>
          <w:bCs/>
          <w:color w:val="1D1D1B"/>
          <w:sz w:val="21"/>
          <w:szCs w:val="21"/>
        </w:rPr>
        <w:t xml:space="preserve">Client relationship management. </w:t>
      </w:r>
      <w:r>
        <w:rPr>
          <w:rFonts w:ascii="Open Sans" w:cs="Open Sans" w:eastAsia="Open Sans" w:hAnsi="Open Sans"/>
          <w:color w:val="1D1D1B"/>
          <w:sz w:val="21"/>
          <w:szCs w:val="21"/>
        </w:rPr>
        <w:t xml:space="preserve">Serve as the primary point of contact for Named and Approved Accounts, building and maintaining the customer relationship.</w:t>
      </w:r>
    </w:p>
    <w:p>
      <w:pPr>
        <w:pStyle w:val="ListParagraph"/>
        <w:numPr>
          <w:ilvl w:val="0"/>
          <w:numId w:val="7"/>
        </w:numPr>
        <w:spacing w:after="140" w:line="300"/>
      </w:pPr>
      <w:r>
        <w:rPr>
          <w:rFonts w:ascii="Open Sans" w:cs="Open Sans" w:eastAsia="Open Sans" w:hAnsi="Open Sans"/>
          <w:b/>
          <w:bCs/>
          <w:color w:val="1D1D1B"/>
          <w:sz w:val="21"/>
          <w:szCs w:val="21"/>
        </w:rPr>
        <w:t xml:space="preserve">Kickoff and project-launch calls. </w:t>
      </w:r>
      <w:r>
        <w:rPr>
          <w:rFonts w:ascii="Open Sans" w:cs="Open Sans" w:eastAsia="Open Sans" w:hAnsi="Open Sans"/>
          <w:color w:val="1D1D1B"/>
          <w:sz w:val="21"/>
          <w:szCs w:val="21"/>
        </w:rPr>
        <w:t xml:space="preserve">Participate in project kickoff calls to hand off the sold scope to the delivery team and confirm customer expectations. </w:t>
      </w:r>
      <w:r>
        <w:rPr>
          <w:rFonts w:ascii="Open Sans" w:cs="Open Sans" w:eastAsia="Open Sans" w:hAnsi="Open Sans"/>
          <w:i/>
          <w:iCs/>
          <w:color w:val="1D1D1B"/>
          <w:sz w:val="21"/>
          <w:szCs w:val="21"/>
        </w:rPr>
        <w:t xml:space="preserve">(operational-adjacent)</w:t>
      </w:r>
    </w:p>
    <w:p>
      <w:pPr>
        <w:pStyle w:val="ListParagraph"/>
        <w:numPr>
          <w:ilvl w:val="0"/>
          <w:numId w:val="7"/>
        </w:numPr>
        <w:spacing w:after="140" w:line="300"/>
      </w:pPr>
      <w:r>
        <w:rPr>
          <w:rFonts w:ascii="Open Sans" w:cs="Open Sans" w:eastAsia="Open Sans" w:hAnsi="Open Sans"/>
          <w:b/>
          <w:bCs/>
          <w:color w:val="1D1D1B"/>
          <w:sz w:val="21"/>
          <w:szCs w:val="21"/>
        </w:rPr>
        <w:t xml:space="preserve">Customer satisfaction management. </w:t>
      </w:r>
      <w:r>
        <w:rPr>
          <w:rFonts w:ascii="Open Sans" w:cs="Open Sans" w:eastAsia="Open Sans" w:hAnsi="Open Sans"/>
          <w:color w:val="1D1D1B"/>
          <w:sz w:val="21"/>
          <w:szCs w:val="21"/>
        </w:rPr>
        <w:t xml:space="preserve">Monitor customer satisfaction throughout the engagement, surface issues to MMG management, and support renewal or expansion conversations. </w:t>
      </w:r>
      <w:r>
        <w:rPr>
          <w:rFonts w:ascii="Open Sans" w:cs="Open Sans" w:eastAsia="Open Sans" w:hAnsi="Open Sans"/>
          <w:i/>
          <w:iCs/>
          <w:color w:val="1D1D1B"/>
          <w:sz w:val="21"/>
          <w:szCs w:val="21"/>
        </w:rPr>
        <w:t xml:space="preserve">(operational-adjacent)</w:t>
      </w:r>
    </w:p>
    <w:p>
      <w:pPr>
        <w:pStyle w:val="ListParagraph"/>
        <w:numPr>
          <w:ilvl w:val="0"/>
          <w:numId w:val="7"/>
        </w:numPr>
        <w:spacing w:after="140" w:line="300"/>
      </w:pPr>
      <w:r>
        <w:rPr>
          <w:rFonts w:ascii="Open Sans" w:cs="Open Sans" w:eastAsia="Open Sans" w:hAnsi="Open Sans"/>
          <w:b/>
          <w:bCs/>
          <w:color w:val="1D1D1B"/>
          <w:sz w:val="21"/>
          <w:szCs w:val="21"/>
        </w:rPr>
        <w:t xml:space="preserve">New business development. </w:t>
      </w:r>
      <w:r>
        <w:rPr>
          <w:rFonts w:ascii="Open Sans" w:cs="Open Sans" w:eastAsia="Open Sans" w:hAnsi="Open Sans"/>
          <w:color w:val="1D1D1B"/>
          <w:sz w:val="21"/>
          <w:szCs w:val="21"/>
        </w:rPr>
        <w:t xml:space="preserve">Prospect and qualify new opportunities within Named and Approved Accounts and, subject to Section 5.1, request approval for new accounts.</w:t>
      </w:r>
    </w:p>
    <w:p>
      <w:pPr>
        <w:pStyle w:val="ListParagraph"/>
        <w:numPr>
          <w:ilvl w:val="0"/>
          <w:numId w:val="7"/>
        </w:numPr>
        <w:spacing w:after="140" w:line="300"/>
      </w:pPr>
      <w:r>
        <w:rPr>
          <w:rFonts w:ascii="Open Sans" w:cs="Open Sans" w:eastAsia="Open Sans" w:hAnsi="Open Sans"/>
          <w:b/>
          <w:bCs/>
          <w:color w:val="1D1D1B"/>
          <w:sz w:val="21"/>
          <w:szCs w:val="21"/>
        </w:rPr>
        <w:t xml:space="preserve">Change Order coordination. </w:t>
      </w:r>
      <w:r>
        <w:rPr>
          <w:rFonts w:ascii="Open Sans" w:cs="Open Sans" w:eastAsia="Open Sans" w:hAnsi="Open Sans"/>
          <w:color w:val="1D1D1B"/>
          <w:sz w:val="21"/>
          <w:szCs w:val="21"/>
        </w:rPr>
        <w:t xml:space="preserve">Identify and help scope Change Orders with the customer, routing them through MMG management for approval per Section 2.</w:t>
      </w:r>
    </w:p>
    <w:p>
      <w:pPr>
        <w:pStyle w:val="ListParagraph"/>
        <w:numPr>
          <w:ilvl w:val="0"/>
          <w:numId w:val="7"/>
        </w:numPr>
        <w:spacing w:after="140" w:line="300"/>
      </w:pPr>
      <w:r>
        <w:rPr>
          <w:rFonts w:ascii="Open Sans" w:cs="Open Sans" w:eastAsia="Open Sans" w:hAnsi="Open Sans"/>
          <w:b/>
          <w:bCs/>
          <w:color w:val="1D1D1B"/>
          <w:sz w:val="21"/>
          <w:szCs w:val="21"/>
        </w:rPr>
        <w:t xml:space="preserve">Account planning. </w:t>
      </w:r>
      <w:r>
        <w:rPr>
          <w:rFonts w:ascii="Open Sans" w:cs="Open Sans" w:eastAsia="Open Sans" w:hAnsi="Open Sans"/>
          <w:color w:val="1D1D1B"/>
          <w:sz w:val="21"/>
          <w:szCs w:val="21"/>
        </w:rPr>
        <w:t xml:space="preserve">Maintain account plans or account summaries for Named and Approved Accounts as reasonably requested by MMG management.</w:t>
      </w:r>
    </w:p>
    <w:p>
      <w:pPr>
        <w:pStyle w:val="ListParagraph"/>
        <w:numPr>
          <w:ilvl w:val="0"/>
          <w:numId w:val="7"/>
        </w:numPr>
        <w:spacing w:after="140" w:line="300"/>
      </w:pPr>
      <w:r>
        <w:rPr>
          <w:rFonts w:ascii="Open Sans" w:cs="Open Sans" w:eastAsia="Open Sans" w:hAnsi="Open Sans"/>
          <w:b/>
          <w:bCs/>
          <w:color w:val="1D1D1B"/>
          <w:sz w:val="21"/>
          <w:szCs w:val="21"/>
        </w:rPr>
        <w:t xml:space="preserve">Business events and tradeshows. </w:t>
      </w:r>
      <w:r>
        <w:rPr>
          <w:rFonts w:ascii="Open Sans" w:cs="Open Sans" w:eastAsia="Open Sans" w:hAnsi="Open Sans"/>
          <w:color w:val="1D1D1B"/>
          <w:sz w:val="21"/>
          <w:szCs w:val="21"/>
        </w:rPr>
        <w:t xml:space="preserve">Attend industry events, tradeshows, and networking functions relevant to Named and Approved Accounts or new business development, as reasonably requested by MMG management.</w:t>
      </w:r>
    </w:p>
    <w:p>
      <w:pPr>
        <w:spacing w:after="160" w:line="300"/>
      </w:pPr>
      <w:r>
        <w:rPr>
          <w:rFonts w:ascii="Open Sans" w:cs="Open Sans" w:eastAsia="Open Sans" w:hAnsi="Open Sans"/>
          <w:i/>
          <w:iCs/>
          <w:color w:val="1D1D1B"/>
          <w:sz w:val="21"/>
          <w:szCs w:val="21"/>
        </w:rPr>
        <w:t xml:space="preserve">Excluded from this role: project delivery execution, resource/staffing decisions, production work, and other operations duties not listed above.</w:t>
      </w:r>
    </w:p>
    <w:p>
      <w:pPr>
        <w:pStyle w:val="Heading2"/>
        <w:pBdr>
          <w:bottom w:val="single" w:color="FF97A9" w:sz="12" w:space="2"/>
        </w:pBdr>
        <w:spacing w:after="140" w:before="320"/>
      </w:pPr>
      <w:r>
        <w:rPr>
          <w:rFonts w:ascii="Source Serif Pro" w:cs="Source Serif Pro" w:eastAsia="Source Serif Pro" w:hAnsi="Source Serif Pro"/>
          <w:b/>
          <w:bCs/>
          <w:color w:val="1D1D1B"/>
          <w:sz w:val="26"/>
          <w:szCs w:val="26"/>
        </w:rPr>
        <w:t xml:space="preserve">6. Earning, Payment, and Adjustments</w:t>
      </w:r>
    </w:p>
    <w:p>
      <w:pPr>
        <w:pStyle w:val="ListParagraph"/>
        <w:numPr>
          <w:ilvl w:val="0"/>
          <w:numId w:val="8"/>
        </w:numPr>
        <w:spacing w:after="140" w:line="300"/>
      </w:pPr>
      <w:r>
        <w:rPr>
          <w:rFonts w:ascii="Open Sans" w:cs="Open Sans" w:eastAsia="Open Sans" w:hAnsi="Open Sans"/>
          <w:b/>
          <w:bCs/>
          <w:color w:val="1D1D1B"/>
          <w:sz w:val="21"/>
          <w:szCs w:val="21"/>
        </w:rPr>
        <w:t xml:space="preserve">When earned. </w:t>
      </w:r>
      <w:r>
        <w:rPr>
          <w:rFonts w:ascii="Open Sans" w:cs="Open Sans" w:eastAsia="Open Sans" w:hAnsi="Open Sans"/>
          <w:color w:val="1D1D1B"/>
          <w:sz w:val="21"/>
          <w:szCs w:val="21"/>
        </w:rPr>
        <w:t xml:space="preserve">Commission on an engagement is earned proportionally as Net Customer Payments are received by MMG, in the ratio that each Net Customer Payment bears to the Approved Contract Value.</w:t>
      </w:r>
    </w:p>
    <w:p>
      <w:pPr>
        <w:pStyle w:val="ListParagraph"/>
        <w:numPr>
          <w:ilvl w:val="0"/>
          <w:numId w:val="8"/>
        </w:numPr>
        <w:spacing w:after="140" w:line="300"/>
      </w:pPr>
      <w:r>
        <w:rPr>
          <w:rFonts w:ascii="Open Sans" w:cs="Open Sans" w:eastAsia="Open Sans" w:hAnsi="Open Sans"/>
          <w:b/>
          <w:bCs/>
          <w:color w:val="1D1D1B"/>
          <w:sz w:val="21"/>
          <w:szCs w:val="21"/>
        </w:rPr>
        <w:t xml:space="preserve">When paid. </w:t>
      </w:r>
      <w:r>
        <w:rPr>
          <w:rFonts w:ascii="Open Sans" w:cs="Open Sans" w:eastAsia="Open Sans" w:hAnsi="Open Sans"/>
          <w:color w:val="1D1D1B"/>
          <w:sz w:val="21"/>
          <w:szCs w:val="21"/>
        </w:rPr>
        <w:t xml:space="preserve">Earned commissions are paid no later than the last day of the calendar month following the month in which the corresponding Net Customer Payment is received.</w:t>
      </w:r>
    </w:p>
    <w:p>
      <w:pPr>
        <w:pStyle w:val="ListParagraph"/>
        <w:numPr>
          <w:ilvl w:val="0"/>
          <w:numId w:val="8"/>
        </w:numPr>
        <w:spacing w:after="140" w:line="300"/>
      </w:pPr>
      <w:r>
        <w:rPr>
          <w:rFonts w:ascii="Open Sans" w:cs="Open Sans" w:eastAsia="Open Sans" w:hAnsi="Open Sans"/>
          <w:b/>
          <w:bCs/>
          <w:color w:val="1D1D1B"/>
          <w:sz w:val="21"/>
          <w:szCs w:val="21"/>
        </w:rPr>
        <w:t xml:space="preserve">Non-payment by customer. </w:t>
      </w:r>
      <w:r>
        <w:rPr>
          <w:rFonts w:ascii="Open Sans" w:cs="Open Sans" w:eastAsia="Open Sans" w:hAnsi="Open Sans"/>
          <w:color w:val="1D1D1B"/>
          <w:sz w:val="21"/>
          <w:szCs w:val="21"/>
        </w:rPr>
        <w:t xml:space="preserve">If a customer fails to pay, commission is due only on amounts actually received. Commissions previously advanced on amounts later refunded or charged back will be offset against future commission payments.</w:t>
      </w:r>
    </w:p>
    <w:p>
      <w:pPr>
        <w:pStyle w:val="ListParagraph"/>
        <w:numPr>
          <w:ilvl w:val="0"/>
          <w:numId w:val="8"/>
        </w:numPr>
        <w:spacing w:after="140" w:line="300"/>
      </w:pPr>
      <w:r>
        <w:rPr>
          <w:rFonts w:ascii="Open Sans" w:cs="Open Sans" w:eastAsia="Open Sans" w:hAnsi="Open Sans"/>
          <w:b/>
          <w:bCs/>
          <w:color w:val="1D1D1B"/>
          <w:sz w:val="21"/>
          <w:szCs w:val="21"/>
        </w:rPr>
        <w:t xml:space="preserve">Change Orders. </w:t>
      </w:r>
      <w:r>
        <w:rPr>
          <w:rFonts w:ascii="Open Sans" w:cs="Open Sans" w:eastAsia="Open Sans" w:hAnsi="Open Sans"/>
          <w:color w:val="1D1D1B"/>
          <w:sz w:val="21"/>
          <w:szCs w:val="21"/>
        </w:rPr>
        <w:t xml:space="preserve">If a Change Order changes the Approved Contract Value or Approved Direct Delivery Costs, a revised Approved Pricing Worksheet and a new Margin Integrity Approval are required, and the Commission Rate is recalculated and applied prospectively.</w:t>
      </w:r>
    </w:p>
    <w:p>
      <w:pPr>
        <w:pStyle w:val="ListParagraph"/>
        <w:numPr>
          <w:ilvl w:val="0"/>
          <w:numId w:val="8"/>
        </w:numPr>
        <w:spacing w:after="140" w:line="300"/>
      </w:pPr>
      <w:r>
        <w:rPr>
          <w:rFonts w:ascii="Open Sans" w:cs="Open Sans" w:eastAsia="Open Sans" w:hAnsi="Open Sans"/>
          <w:b/>
          <w:bCs/>
          <w:color w:val="1D1D1B"/>
          <w:sz w:val="21"/>
          <w:szCs w:val="21"/>
        </w:rPr>
        <w:t xml:space="preserve">Splits. </w:t>
      </w:r>
      <w:r>
        <w:rPr>
          <w:rFonts w:ascii="Open Sans" w:cs="Open Sans" w:eastAsia="Open Sans" w:hAnsi="Open Sans"/>
          <w:color w:val="1D1D1B"/>
          <w:sz w:val="21"/>
          <w:szCs w:val="21"/>
        </w:rPr>
        <w:t xml:space="preserve">Any commission splits between representatives on a Named and Approved Account will be documented in a written schedule approved by MMG management before Margin Integrity Approval.</w:t>
      </w:r>
    </w:p>
    <w:p>
      <w:pPr>
        <w:pStyle w:val="Heading2"/>
        <w:pBdr>
          <w:bottom w:val="single" w:color="FF97A9" w:sz="12" w:space="2"/>
        </w:pBdr>
        <w:spacing w:after="140" w:before="320"/>
      </w:pPr>
      <w:r>
        <w:rPr>
          <w:rFonts w:ascii="Source Serif Pro" w:cs="Source Serif Pro" w:eastAsia="Source Serif Pro" w:hAnsi="Source Serif Pro"/>
          <w:b/>
          <w:bCs/>
          <w:color w:val="1D1D1B"/>
          <w:sz w:val="26"/>
          <w:szCs w:val="26"/>
        </w:rPr>
        <w:t xml:space="preserve">7. Termination</w:t>
      </w:r>
    </w:p>
    <w:p>
      <w:pPr>
        <w:pStyle w:val="ListParagraph"/>
        <w:numPr>
          <w:ilvl w:val="0"/>
          <w:numId w:val="9"/>
        </w:numPr>
        <w:spacing w:after="140" w:line="300"/>
      </w:pPr>
      <w:r>
        <w:rPr>
          <w:rFonts w:ascii="Open Sans" w:cs="Open Sans" w:eastAsia="Open Sans" w:hAnsi="Open Sans"/>
          <w:color w:val="1D1D1B"/>
          <w:sz w:val="21"/>
          <w:szCs w:val="21"/>
        </w:rPr>
        <w:t xml:space="preserve">Either Party may terminate this Agreement at any time, with or without cause, upon written notice.</w:t>
      </w:r>
    </w:p>
    <w:p>
      <w:pPr>
        <w:pStyle w:val="ListParagraph"/>
        <w:numPr>
          <w:ilvl w:val="0"/>
          <w:numId w:val="9"/>
        </w:numPr>
        <w:spacing w:after="140" w:line="300"/>
      </w:pPr>
      <w:r>
        <w:rPr>
          <w:rFonts w:ascii="Open Sans" w:cs="Open Sans" w:eastAsia="Open Sans" w:hAnsi="Open Sans"/>
          <w:color w:val="1D1D1B"/>
          <w:sz w:val="21"/>
          <w:szCs w:val="21"/>
        </w:rPr>
        <w:t xml:space="preserve">Following termination, the Sales Representative remains entitled to commissions on engagements with an Approved Pricing Worksheet and Margin Integrity Approval dated before the termination date, to the extent Net Customer Payments on those engagements are received by MMG within ninety (90) days after the termination date. No commissions are due on payments received after that period or on engagements approved after the termination date.</w:t>
      </w:r>
    </w:p>
    <w:p>
      <w:pPr>
        <w:pStyle w:val="ListParagraph"/>
        <w:numPr>
          <w:ilvl w:val="0"/>
          <w:numId w:val="9"/>
        </w:numPr>
        <w:spacing w:after="140" w:line="300"/>
      </w:pPr>
      <w:r>
        <w:rPr>
          <w:rFonts w:ascii="Open Sans" w:cs="Open Sans" w:eastAsia="Open Sans" w:hAnsi="Open Sans"/>
          <w:color w:val="1D1D1B"/>
          <w:sz w:val="21"/>
          <w:szCs w:val="21"/>
        </w:rPr>
        <w:t xml:space="preserve">Nothing in this Agreement modifies the at-will nature of any employment relationship or creates an obligation of continued engagement.</w:t>
      </w:r>
    </w:p>
    <w:p>
      <w:pPr>
        <w:pStyle w:val="Heading2"/>
        <w:pBdr>
          <w:bottom w:val="single" w:color="FF97A9" w:sz="12" w:space="2"/>
        </w:pBdr>
        <w:spacing w:after="140" w:before="320"/>
      </w:pPr>
      <w:r>
        <w:rPr>
          <w:rFonts w:ascii="Source Serif Pro" w:cs="Source Serif Pro" w:eastAsia="Source Serif Pro" w:hAnsi="Source Serif Pro"/>
          <w:b/>
          <w:bCs/>
          <w:color w:val="1D1D1B"/>
          <w:sz w:val="26"/>
          <w:szCs w:val="26"/>
        </w:rPr>
        <w:t xml:space="preserve">8. Records and Dispute Resolution</w:t>
      </w:r>
    </w:p>
    <w:p>
      <w:pPr>
        <w:pStyle w:val="ListParagraph"/>
        <w:numPr>
          <w:ilvl w:val="0"/>
          <w:numId w:val="10"/>
        </w:numPr>
        <w:spacing w:after="140" w:line="300"/>
      </w:pPr>
      <w:r>
        <w:rPr>
          <w:rFonts w:ascii="Open Sans" w:cs="Open Sans" w:eastAsia="Open Sans" w:hAnsi="Open Sans"/>
          <w:color w:val="1D1D1B"/>
          <w:sz w:val="21"/>
          <w:szCs w:val="21"/>
        </w:rPr>
        <w:t xml:space="preserve">The Approved Pricing Worksheet, including the Margin Integrity Approval, is the conclusive record of the commission basis for each engagement. MMG will provide the Sales Representative a copy of each Approved Pricing Worksheet at or before Margin Integrity Approval.</w:t>
      </w:r>
    </w:p>
    <w:p>
      <w:pPr>
        <w:pStyle w:val="ListParagraph"/>
        <w:numPr>
          <w:ilvl w:val="0"/>
          <w:numId w:val="10"/>
        </w:numPr>
        <w:spacing w:after="140" w:line="300"/>
      </w:pPr>
      <w:r>
        <w:rPr>
          <w:rFonts w:ascii="Open Sans" w:cs="Open Sans" w:eastAsia="Open Sans" w:hAnsi="Open Sans"/>
          <w:color w:val="1D1D1B"/>
          <w:sz w:val="21"/>
          <w:szCs w:val="21"/>
        </w:rPr>
        <w:t xml:space="preserve">Commission statements will accompany each commission payment. The Sales Representative must raise any dispute in writing within sixty (60) days of the statement date; statements not disputed within that period are deemed accepted.</w:t>
      </w:r>
    </w:p>
    <w:p>
      <w:pPr>
        <w:pStyle w:val="ListParagraph"/>
        <w:numPr>
          <w:ilvl w:val="0"/>
          <w:numId w:val="10"/>
        </w:numPr>
        <w:spacing w:after="140" w:line="300"/>
      </w:pPr>
      <w:r>
        <w:rPr>
          <w:rFonts w:ascii="Open Sans" w:cs="Open Sans" w:eastAsia="Open Sans" w:hAnsi="Open Sans"/>
          <w:color w:val="1D1D1B"/>
          <w:sz w:val="21"/>
          <w:szCs w:val="21"/>
        </w:rPr>
        <w:t xml:space="preserve">The Parties will first attempt in good faith to resolve any dispute through direct negotiation between the Sales Representative and MMG’s CEO or designee.</w:t>
      </w:r>
    </w:p>
    <w:p>
      <w:pPr>
        <w:pStyle w:val="Heading2"/>
        <w:pBdr>
          <w:bottom w:val="single" w:color="FF97A9" w:sz="12" w:space="2"/>
        </w:pBdr>
        <w:spacing w:after="140" w:before="320"/>
      </w:pPr>
      <w:r>
        <w:rPr>
          <w:rFonts w:ascii="Source Serif Pro" w:cs="Source Serif Pro" w:eastAsia="Source Serif Pro" w:hAnsi="Source Serif Pro"/>
          <w:b/>
          <w:bCs/>
          <w:color w:val="1D1D1B"/>
          <w:sz w:val="26"/>
          <w:szCs w:val="26"/>
        </w:rPr>
        <w:t xml:space="preserve">9. Confidentiality</w:t>
      </w:r>
    </w:p>
    <w:p>
      <w:pPr>
        <w:spacing w:after="160" w:line="300"/>
      </w:pPr>
      <w:r>
        <w:rPr>
          <w:rFonts w:ascii="Open Sans" w:cs="Open Sans" w:eastAsia="Open Sans" w:hAnsi="Open Sans"/>
          <w:color w:val="1D1D1B"/>
          <w:sz w:val="21"/>
          <w:szCs w:val="21"/>
        </w:rPr>
        <w:t xml:space="preserve">The Sales Representative shall keep confidential all non-public MMG information, including pricing worksheets, cost structures, margin data, commission terms, customer lists, and deal terms, both during and after the Term, and shall use such information solely to perform under this Agreement. This section is in addition to, and does not limit, Section 4B.</w:t>
      </w:r>
    </w:p>
    <w:p>
      <w:pPr>
        <w:pStyle w:val="Heading2"/>
        <w:pBdr>
          <w:bottom w:val="single" w:color="FF97A9" w:sz="12" w:space="2"/>
        </w:pBdr>
        <w:spacing w:after="140" w:before="320"/>
      </w:pPr>
      <w:r>
        <w:rPr>
          <w:rFonts w:ascii="Source Serif Pro" w:cs="Source Serif Pro" w:eastAsia="Source Serif Pro" w:hAnsi="Source Serif Pro"/>
          <w:b/>
          <w:bCs/>
          <w:color w:val="1D1D1B"/>
          <w:sz w:val="26"/>
          <w:szCs w:val="26"/>
        </w:rPr>
        <w:t xml:space="preserve">10. General Provisions</w:t>
      </w:r>
    </w:p>
    <w:p>
      <w:pPr>
        <w:pStyle w:val="ListParagraph"/>
        <w:numPr>
          <w:ilvl w:val="0"/>
          <w:numId w:val="11"/>
        </w:numPr>
        <w:spacing w:after="140" w:line="300"/>
      </w:pPr>
      <w:r>
        <w:rPr>
          <w:rFonts w:ascii="Open Sans" w:cs="Open Sans" w:eastAsia="Open Sans" w:hAnsi="Open Sans"/>
          <w:b/>
          <w:bCs/>
          <w:color w:val="1D1D1B"/>
          <w:sz w:val="21"/>
          <w:szCs w:val="21"/>
        </w:rPr>
        <w:t xml:space="preserve">Governing law. </w:t>
      </w:r>
      <w:r>
        <w:rPr>
          <w:rFonts w:ascii="Open Sans" w:cs="Open Sans" w:eastAsia="Open Sans" w:hAnsi="Open Sans"/>
          <w:color w:val="1D1D1B"/>
          <w:sz w:val="21"/>
          <w:szCs w:val="21"/>
        </w:rPr>
        <w:t xml:space="preserve">This Agreement is governed by the laws of the State of Arizona, without regard to conflict-of-laws principles. Venue for any action lies in the state or federal courts located in Maricopa County, Arizona.</w:t>
      </w:r>
    </w:p>
    <w:p>
      <w:pPr>
        <w:pStyle w:val="ListParagraph"/>
        <w:numPr>
          <w:ilvl w:val="0"/>
          <w:numId w:val="11"/>
        </w:numPr>
        <w:spacing w:after="140" w:line="300"/>
      </w:pPr>
      <w:r>
        <w:rPr>
          <w:rFonts w:ascii="Open Sans" w:cs="Open Sans" w:eastAsia="Open Sans" w:hAnsi="Open Sans"/>
          <w:b/>
          <w:bCs/>
          <w:color w:val="1D1D1B"/>
          <w:sz w:val="21"/>
          <w:szCs w:val="21"/>
        </w:rPr>
        <w:t xml:space="preserve">Entire agreement. </w:t>
      </w:r>
      <w:r>
        <w:rPr>
          <w:rFonts w:ascii="Open Sans" w:cs="Open Sans" w:eastAsia="Open Sans" w:hAnsi="Open Sans"/>
          <w:color w:val="1D1D1B"/>
          <w:sz w:val="21"/>
          <w:szCs w:val="21"/>
        </w:rPr>
        <w:t xml:space="preserve">This Agreement, together with any written schedules and Approved Pricing Worksheets referenced herein, is the entire agreement of the Parties regarding sales commissions and supersedes all prior oral or written commission arrangements.</w:t>
      </w:r>
    </w:p>
    <w:p>
      <w:pPr>
        <w:pStyle w:val="ListParagraph"/>
        <w:numPr>
          <w:ilvl w:val="0"/>
          <w:numId w:val="11"/>
        </w:numPr>
        <w:spacing w:after="140" w:line="300"/>
      </w:pPr>
      <w:r>
        <w:rPr>
          <w:rFonts w:ascii="Open Sans" w:cs="Open Sans" w:eastAsia="Open Sans" w:hAnsi="Open Sans"/>
          <w:b/>
          <w:bCs/>
          <w:color w:val="1D1D1B"/>
          <w:sz w:val="21"/>
          <w:szCs w:val="21"/>
        </w:rPr>
        <w:t xml:space="preserve">Amendment. </w:t>
      </w:r>
      <w:r>
        <w:rPr>
          <w:rFonts w:ascii="Open Sans" w:cs="Open Sans" w:eastAsia="Open Sans" w:hAnsi="Open Sans"/>
          <w:color w:val="1D1D1B"/>
          <w:sz w:val="21"/>
          <w:szCs w:val="21"/>
        </w:rPr>
        <w:t xml:space="preserve">This Agreement may be amended only in a writing signed by both Parties. MMG may amend the flat Commission Rate or the 30% Gross Margin % threshold prospectively for future engagements upon thirty (30) days’ written notice.</w:t>
      </w:r>
    </w:p>
    <w:p>
      <w:pPr>
        <w:pStyle w:val="ListParagraph"/>
        <w:numPr>
          <w:ilvl w:val="0"/>
          <w:numId w:val="11"/>
        </w:numPr>
        <w:spacing w:after="140" w:line="300"/>
      </w:pPr>
      <w:r>
        <w:rPr>
          <w:rFonts w:ascii="Open Sans" w:cs="Open Sans" w:eastAsia="Open Sans" w:hAnsi="Open Sans"/>
          <w:b/>
          <w:bCs/>
          <w:color w:val="1D1D1B"/>
          <w:sz w:val="21"/>
          <w:szCs w:val="21"/>
        </w:rPr>
        <w:t xml:space="preserve">Severability; waiver. </w:t>
      </w:r>
      <w:r>
        <w:rPr>
          <w:rFonts w:ascii="Open Sans" w:cs="Open Sans" w:eastAsia="Open Sans" w:hAnsi="Open Sans"/>
          <w:color w:val="1D1D1B"/>
          <w:sz w:val="21"/>
          <w:szCs w:val="21"/>
        </w:rPr>
        <w:t xml:space="preserve">If any provision is held unenforceable, the remainder stays in effect. No waiver of any breach waives any other breach.</w:t>
      </w:r>
    </w:p>
    <w:p>
      <w:pPr>
        <w:pStyle w:val="ListParagraph"/>
        <w:numPr>
          <w:ilvl w:val="0"/>
          <w:numId w:val="11"/>
        </w:numPr>
        <w:spacing w:after="140" w:line="300"/>
      </w:pPr>
      <w:r>
        <w:rPr>
          <w:rFonts w:ascii="Open Sans" w:cs="Open Sans" w:eastAsia="Open Sans" w:hAnsi="Open Sans"/>
          <w:b/>
          <w:bCs/>
          <w:color w:val="1D1D1B"/>
          <w:sz w:val="21"/>
          <w:szCs w:val="21"/>
        </w:rPr>
        <w:t xml:space="preserve">No assignment. </w:t>
      </w:r>
      <w:r>
        <w:rPr>
          <w:rFonts w:ascii="Open Sans" w:cs="Open Sans" w:eastAsia="Open Sans" w:hAnsi="Open Sans"/>
          <w:color w:val="1D1D1B"/>
          <w:sz w:val="21"/>
          <w:szCs w:val="21"/>
        </w:rPr>
        <w:t xml:space="preserve">The Sales Representative may not assign this Agreement or any right to commissions without MMG’s prior written consent.</w:t>
      </w:r>
    </w:p>
    <w:p>
      <w:pPr>
        <w:pStyle w:val="ListParagraph"/>
        <w:numPr>
          <w:ilvl w:val="0"/>
          <w:numId w:val="11"/>
        </w:numPr>
        <w:spacing w:after="140" w:line="300"/>
      </w:pPr>
      <w:r>
        <w:rPr>
          <w:rFonts w:ascii="Open Sans" w:cs="Open Sans" w:eastAsia="Open Sans" w:hAnsi="Open Sans"/>
          <w:b/>
          <w:bCs/>
          <w:color w:val="1D1D1B"/>
          <w:sz w:val="21"/>
          <w:szCs w:val="21"/>
        </w:rPr>
        <w:t xml:space="preserve">Counterparts; electronic signature. </w:t>
      </w:r>
      <w:r>
        <w:rPr>
          <w:rFonts w:ascii="Open Sans" w:cs="Open Sans" w:eastAsia="Open Sans" w:hAnsi="Open Sans"/>
          <w:color w:val="1D1D1B"/>
          <w:sz w:val="21"/>
          <w:szCs w:val="21"/>
        </w:rPr>
        <w:t xml:space="preserve">This Agreement may be executed in counterparts and by electronic signature, each of which is deemed an original.</w:t>
      </w:r>
    </w:p>
    <w:p>
      <w:pPr>
        <w:pStyle w:val="Heading2"/>
        <w:pBdr>
          <w:bottom w:val="single" w:color="FF97A9" w:sz="12" w:space="2"/>
        </w:pBdr>
        <w:spacing w:after="140" w:before="320"/>
      </w:pPr>
      <w:r>
        <w:rPr>
          <w:rFonts w:ascii="Source Serif Pro" w:cs="Source Serif Pro" w:eastAsia="Source Serif Pro" w:hAnsi="Source Serif Pro"/>
          <w:b/>
          <w:bCs/>
          <w:color w:val="1D1D1B"/>
          <w:sz w:val="26"/>
          <w:szCs w:val="26"/>
        </w:rPr>
        <w:t xml:space="preserve">Exhibit A — Approved Pricing Worksheet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00"/>
        <w:gridCol w:w="3060"/>
      </w:tblGrid>
      <w:tr>
        <w:tc>
          <w:tcPr>
            <w:tcW w:type="dxa" w:w="6300"/>
            <w:shd w:fill="1D1D1B" w:val="clear"/>
            <w:tcMar>
              <w:top w:type="dxa" w:w="80"/>
              <w:left w:type="dxa" w:w="120"/>
              <w:bottom w:type="dxa" w:w="80"/>
              <w:right w:type="dxa" w:w="120"/>
            </w:tcMar>
          </w:tcPr>
          <w:p>
            <w:r>
              <w:rPr>
                <w:rFonts w:ascii="Open Sans" w:cs="Open Sans" w:eastAsia="Open Sans" w:hAnsi="Open Sans"/>
                <w:b/>
                <w:bCs/>
                <w:color w:val="FFFFFF"/>
                <w:sz w:val="20"/>
                <w:szCs w:val="20"/>
              </w:rPr>
              <w:t xml:space="preserve">Field</w:t>
            </w:r>
          </w:p>
        </w:tc>
        <w:tc>
          <w:tcPr>
            <w:tcW w:type="dxa" w:w="3060"/>
            <w:shd w:fill="1D1D1B" w:val="clear"/>
            <w:tcMar>
              <w:top w:type="dxa" w:w="80"/>
              <w:left w:type="dxa" w:w="120"/>
              <w:bottom w:type="dxa" w:w="80"/>
              <w:right w:type="dxa" w:w="120"/>
            </w:tcMar>
          </w:tcPr>
          <w:p>
            <w:r>
              <w:rPr>
                <w:rFonts w:ascii="Open Sans" w:cs="Open Sans" w:eastAsia="Open Sans" w:hAnsi="Open Sans"/>
                <w:b/>
                <w:bCs/>
                <w:color w:val="FFFFFF"/>
                <w:sz w:val="20"/>
                <w:szCs w:val="20"/>
              </w:rPr>
              <w:t xml:space="preserve">Entry</w:t>
            </w:r>
          </w:p>
        </w:tc>
      </w:tr>
      <w:tr>
        <w:tc>
          <w:tcPr>
            <w:tcW w:type="dxa" w:w="63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Customer / Engagement</w:t>
            </w:r>
          </w:p>
        </w:tc>
        <w:tc>
          <w:tcPr>
            <w:tcW w:type="dxa" w:w="306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 </w:t>
            </w:r>
          </w:p>
        </w:tc>
      </w:tr>
      <w:tr>
        <w:tc>
          <w:tcPr>
            <w:tcW w:type="dxa" w:w="63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Proposal / SOW reference &amp; date</w:t>
            </w:r>
          </w:p>
        </w:tc>
        <w:tc>
          <w:tcPr>
            <w:tcW w:type="dxa" w:w="306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 </w:t>
            </w:r>
          </w:p>
        </w:tc>
      </w:tr>
      <w:tr>
        <w:tc>
          <w:tcPr>
            <w:tcW w:type="dxa" w:w="63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Approved Contract Value (Revenue)</w:t>
            </w:r>
          </w:p>
        </w:tc>
        <w:tc>
          <w:tcPr>
            <w:tcW w:type="dxa" w:w="306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w:t>
            </w:r>
          </w:p>
        </w:tc>
      </w:tr>
      <w:tr>
        <w:tc>
          <w:tcPr>
            <w:tcW w:type="dxa" w:w="63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Estimated MMG employee labor</w:t>
            </w:r>
          </w:p>
        </w:tc>
        <w:tc>
          <w:tcPr>
            <w:tcW w:type="dxa" w:w="306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w:t>
            </w:r>
          </w:p>
        </w:tc>
      </w:tr>
      <w:tr>
        <w:tc>
          <w:tcPr>
            <w:tcW w:type="dxa" w:w="63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Estimated approved subcontractor / freelancer labor</w:t>
            </w:r>
          </w:p>
        </w:tc>
        <w:tc>
          <w:tcPr>
            <w:tcW w:type="dxa" w:w="306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w:t>
            </w:r>
          </w:p>
        </w:tc>
      </w:tr>
      <w:tr>
        <w:tc>
          <w:tcPr>
            <w:tcW w:type="dxa" w:w="63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Approved Direct Delivery Costs (total)</w:t>
            </w:r>
          </w:p>
        </w:tc>
        <w:tc>
          <w:tcPr>
            <w:tcW w:type="dxa" w:w="306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w:t>
            </w:r>
          </w:p>
        </w:tc>
      </w:tr>
      <w:tr>
        <w:tc>
          <w:tcPr>
            <w:tcW w:type="dxa" w:w="6300"/>
            <w:shd w:fill="FFE4EA" w:val="clear"/>
            <w:tcMar>
              <w:top w:type="dxa" w:w="80"/>
              <w:left w:type="dxa" w:w="120"/>
              <w:bottom w:type="dxa" w:w="80"/>
              <w:right w:type="dxa" w:w="120"/>
            </w:tcMar>
          </w:tcPr>
          <w:p>
            <w:r>
              <w:rPr>
                <w:rFonts w:ascii="Open Sans" w:cs="Open Sans" w:eastAsia="Open Sans" w:hAnsi="Open Sans"/>
                <w:b/>
                <w:bCs/>
                <w:color w:val="1D1D1B"/>
                <w:sz w:val="20"/>
                <w:szCs w:val="20"/>
              </w:rPr>
              <w:t xml:space="preserve">Gross Margin %</w:t>
            </w:r>
          </w:p>
        </w:tc>
        <w:tc>
          <w:tcPr>
            <w:tcW w:type="dxa" w:w="3060"/>
            <w:shd w:fill="FFE4EA" w:val="clear"/>
            <w:tcMar>
              <w:top w:type="dxa" w:w="80"/>
              <w:left w:type="dxa" w:w="120"/>
              <w:bottom w:type="dxa" w:w="80"/>
              <w:right w:type="dxa" w:w="120"/>
            </w:tcMar>
          </w:tcPr>
          <w:p>
            <w:r>
              <w:rPr>
                <w:rFonts w:ascii="Open Sans" w:cs="Open Sans" w:eastAsia="Open Sans" w:hAnsi="Open Sans"/>
                <w:b/>
                <w:bCs/>
                <w:color w:val="1D1D1B"/>
                <w:sz w:val="20"/>
                <w:szCs w:val="20"/>
              </w:rPr>
              <w:t xml:space="preserve">%</w:t>
            </w:r>
          </w:p>
        </w:tc>
      </w:tr>
      <w:tr>
        <w:tc>
          <w:tcPr>
            <w:tcW w:type="dxa" w:w="6300"/>
            <w:shd w:fill="FFF3D6" w:val="clear"/>
            <w:tcMar>
              <w:top w:type="dxa" w:w="80"/>
              <w:left w:type="dxa" w:w="120"/>
              <w:bottom w:type="dxa" w:w="80"/>
              <w:right w:type="dxa" w:w="120"/>
            </w:tcMar>
          </w:tcPr>
          <w:p>
            <w:r>
              <w:rPr>
                <w:rFonts w:ascii="Open Sans" w:cs="Open Sans" w:eastAsia="Open Sans" w:hAnsi="Open Sans"/>
                <w:b/>
                <w:bCs/>
                <w:color w:val="1D1D1B"/>
                <w:sz w:val="20"/>
                <w:szCs w:val="20"/>
              </w:rPr>
              <w:t xml:space="preserve">Margin Integrity Approval (Bill Gusmano or designee — signature &amp; date; required before rate is agreed)</w:t>
            </w:r>
          </w:p>
        </w:tc>
        <w:tc>
          <w:tcPr>
            <w:tcW w:type="dxa" w:w="3060"/>
            <w:shd w:fill="FFF3D6" w:val="clear"/>
            <w:tcMar>
              <w:top w:type="dxa" w:w="80"/>
              <w:left w:type="dxa" w:w="120"/>
              <w:bottom w:type="dxa" w:w="80"/>
              <w:right w:type="dxa" w:w="120"/>
            </w:tcMar>
          </w:tcPr>
          <w:p>
            <w:r>
              <w:rPr>
                <w:rFonts w:ascii="Open Sans" w:cs="Open Sans" w:eastAsia="Open Sans" w:hAnsi="Open Sans"/>
                <w:b/>
                <w:bCs/>
                <w:color w:val="1D1D1B"/>
                <w:sz w:val="20"/>
                <w:szCs w:val="20"/>
              </w:rPr>
              <w:t xml:space="preserve"> </w:t>
            </w:r>
          </w:p>
        </w:tc>
      </w:tr>
      <w:tr>
        <w:tc>
          <w:tcPr>
            <w:tcW w:type="dxa" w:w="63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Basis applied (Flat 12% of Revenue §5.2, or 40% of Gross Profit §5.4 if margin &lt; 30%)</w:t>
            </w:r>
          </w:p>
        </w:tc>
        <w:tc>
          <w:tcPr>
            <w:tcW w:type="dxa" w:w="306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 </w:t>
            </w:r>
          </w:p>
        </w:tc>
      </w:tr>
      <w:tr>
        <w:tc>
          <w:tcPr>
            <w:tcW w:type="dxa" w:w="63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Applicable rate / split</w:t>
            </w:r>
          </w:p>
        </w:tc>
        <w:tc>
          <w:tcPr>
            <w:tcW w:type="dxa" w:w="306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w:t>
            </w:r>
          </w:p>
        </w:tc>
      </w:tr>
      <w:tr>
        <w:tc>
          <w:tcPr>
            <w:tcW w:type="dxa" w:w="63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Commission at approval</w:t>
            </w:r>
          </w:p>
        </w:tc>
        <w:tc>
          <w:tcPr>
            <w:tcW w:type="dxa" w:w="306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w:t>
            </w:r>
          </w:p>
        </w:tc>
      </w:tr>
    </w:tbl>
    <w:p>
      <w:pPr>
        <w:pStyle w:val="Heading2"/>
        <w:pBdr>
          <w:bottom w:val="single" w:color="FF97A9" w:sz="12" w:space="2"/>
        </w:pBdr>
        <w:spacing w:after="140" w:before="320"/>
      </w:pPr>
      <w:r>
        <w:rPr>
          <w:rFonts w:ascii="Source Serif Pro" w:cs="Source Serif Pro" w:eastAsia="Source Serif Pro" w:hAnsi="Source Serif Pro"/>
          <w:b/>
          <w:bCs/>
          <w:color w:val="1D1D1B"/>
          <w:sz w:val="26"/>
          <w:szCs w:val="26"/>
        </w:rPr>
        <w:t xml:space="preserve">Exhibit B — Named and Approved Accounts</w:t>
      </w:r>
    </w:p>
    <w:p>
      <w:pPr>
        <w:spacing w:after="160" w:line="300"/>
      </w:pPr>
      <w:r>
        <w:rPr>
          <w:rFonts w:ascii="Open Sans" w:cs="Open Sans" w:eastAsia="Open Sans" w:hAnsi="Open Sans"/>
          <w:color w:val="1D1D1B"/>
          <w:sz w:val="21"/>
          <w:szCs w:val="21"/>
        </w:rPr>
        <w:t xml:space="preserve">Accounts (or scoped portions of accounts) requested by the Sales Representative and approved in writing by MMG as commissionable. Anything not listed here is non-commissionable by default. MMG may amend this list in writing at its sole discretion.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gridCol w:w="2160"/>
      </w:tblGrid>
      <w:tr>
        <w:tc>
          <w:tcPr>
            <w:tcW w:type="dxa" w:w="3600"/>
            <w:shd w:fill="1D1D1B" w:val="clear"/>
            <w:tcMar>
              <w:top w:type="dxa" w:w="80"/>
              <w:left w:type="dxa" w:w="120"/>
              <w:bottom w:type="dxa" w:w="80"/>
              <w:right w:type="dxa" w:w="120"/>
            </w:tcMar>
          </w:tcPr>
          <w:p>
            <w:r>
              <w:rPr>
                <w:rFonts w:ascii="Open Sans" w:cs="Open Sans" w:eastAsia="Open Sans" w:hAnsi="Open Sans"/>
                <w:b/>
                <w:bCs/>
                <w:color w:val="FFFFFF"/>
                <w:sz w:val="20"/>
                <w:szCs w:val="20"/>
              </w:rPr>
              <w:t xml:space="preserve">Named and Approved Account</w:t>
            </w:r>
          </w:p>
        </w:tc>
        <w:tc>
          <w:tcPr>
            <w:tcW w:type="dxa" w:w="3600"/>
            <w:shd w:fill="1D1D1B" w:val="clear"/>
            <w:tcMar>
              <w:top w:type="dxa" w:w="80"/>
              <w:left w:type="dxa" w:w="120"/>
              <w:bottom w:type="dxa" w:w="80"/>
              <w:right w:type="dxa" w:w="120"/>
            </w:tcMar>
          </w:tcPr>
          <w:p>
            <w:r>
              <w:rPr>
                <w:rFonts w:ascii="Open Sans" w:cs="Open Sans" w:eastAsia="Open Sans" w:hAnsi="Open Sans"/>
                <w:b/>
                <w:bCs/>
                <w:color w:val="FFFFFF"/>
                <w:sz w:val="20"/>
                <w:szCs w:val="20"/>
              </w:rPr>
              <w:t xml:space="preserve">Approved scope (whole account / division / opportunity)</w:t>
            </w:r>
          </w:p>
        </w:tc>
        <w:tc>
          <w:tcPr>
            <w:tcW w:type="dxa" w:w="2160"/>
            <w:shd w:fill="1D1D1B" w:val="clear"/>
            <w:tcMar>
              <w:top w:type="dxa" w:w="80"/>
              <w:left w:type="dxa" w:w="120"/>
              <w:bottom w:type="dxa" w:w="80"/>
              <w:right w:type="dxa" w:w="120"/>
            </w:tcMar>
          </w:tcPr>
          <w:p>
            <w:r>
              <w:rPr>
                <w:rFonts w:ascii="Open Sans" w:cs="Open Sans" w:eastAsia="Open Sans" w:hAnsi="Open Sans"/>
                <w:b/>
                <w:bCs/>
                <w:color w:val="FFFFFF"/>
                <w:sz w:val="20"/>
                <w:szCs w:val="20"/>
              </w:rPr>
              <w:t xml:space="preserve">Approval date</w:t>
            </w:r>
          </w:p>
        </w:tc>
      </w:tr>
      <w:tr>
        <w:tc>
          <w:tcPr>
            <w:tcW w:type="dxa" w:w="36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 </w:t>
            </w:r>
          </w:p>
        </w:tc>
        <w:tc>
          <w:tcPr>
            <w:tcW w:type="dxa" w:w="36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 </w:t>
            </w:r>
          </w:p>
        </w:tc>
        <w:tc>
          <w:tcPr>
            <w:tcW w:type="dxa" w:w="216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 </w:t>
            </w:r>
          </w:p>
        </w:tc>
      </w:tr>
      <w:tr>
        <w:tc>
          <w:tcPr>
            <w:tcW w:type="dxa" w:w="36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 </w:t>
            </w:r>
          </w:p>
        </w:tc>
        <w:tc>
          <w:tcPr>
            <w:tcW w:type="dxa" w:w="36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 </w:t>
            </w:r>
          </w:p>
        </w:tc>
        <w:tc>
          <w:tcPr>
            <w:tcW w:type="dxa" w:w="216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 </w:t>
            </w:r>
          </w:p>
        </w:tc>
      </w:tr>
      <w:tr>
        <w:tc>
          <w:tcPr>
            <w:tcW w:type="dxa" w:w="36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 </w:t>
            </w:r>
          </w:p>
        </w:tc>
        <w:tc>
          <w:tcPr>
            <w:tcW w:type="dxa" w:w="36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 </w:t>
            </w:r>
          </w:p>
        </w:tc>
        <w:tc>
          <w:tcPr>
            <w:tcW w:type="dxa" w:w="216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 </w:t>
            </w:r>
          </w:p>
        </w:tc>
      </w:tr>
      <w:tr>
        <w:tc>
          <w:tcPr>
            <w:tcW w:type="dxa" w:w="36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 </w:t>
            </w:r>
          </w:p>
        </w:tc>
        <w:tc>
          <w:tcPr>
            <w:tcW w:type="dxa" w:w="36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 </w:t>
            </w:r>
          </w:p>
        </w:tc>
        <w:tc>
          <w:tcPr>
            <w:tcW w:type="dxa" w:w="216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 </w:t>
            </w:r>
          </w:p>
        </w:tc>
      </w:tr>
      <w:tr>
        <w:tc>
          <w:tcPr>
            <w:tcW w:type="dxa" w:w="36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 </w:t>
            </w:r>
          </w:p>
        </w:tc>
        <w:tc>
          <w:tcPr>
            <w:tcW w:type="dxa" w:w="36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 </w:t>
            </w:r>
          </w:p>
        </w:tc>
        <w:tc>
          <w:tcPr>
            <w:tcW w:type="dxa" w:w="216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 </w:t>
            </w:r>
          </w:p>
        </w:tc>
      </w:tr>
    </w:tbl>
    <w:p>
      <w:pPr>
        <w:pStyle w:val="Heading2"/>
        <w:pBdr>
          <w:bottom w:val="single" w:color="FF97A9" w:sz="12" w:space="2"/>
        </w:pBdr>
        <w:spacing w:after="140" w:before="320"/>
      </w:pPr>
      <w:r>
        <w:rPr>
          <w:rFonts w:ascii="Source Serif Pro" w:cs="Source Serif Pro" w:eastAsia="Source Serif Pro" w:hAnsi="Source Serif Pro"/>
          <w:b/>
          <w:bCs/>
          <w:color w:val="1D1D1B"/>
          <w:sz w:val="26"/>
          <w:szCs w:val="26"/>
        </w:rPr>
        <w:t xml:space="preserve">Signatures</w:t>
      </w:r>
    </w:p>
    <w:p>
      <w:pPr>
        <w:spacing w:after="60" w:before="120"/>
      </w:pPr>
      <w:r>
        <w:rPr>
          <w:rFonts w:ascii="Source Serif Pro" w:cs="Source Serif Pro" w:eastAsia="Source Serif Pro" w:hAnsi="Source Serif Pro"/>
          <w:b/>
          <w:bCs/>
          <w:color w:val="1D1D1B"/>
          <w:sz w:val="23"/>
          <w:szCs w:val="23"/>
        </w:rPr>
        <w:t xml:space="preserve">MMG Global LLC d/b/a The Motivated Mind Group</w:t>
      </w:r>
    </w:p>
    <w:p>
      <w:pPr>
        <w:pBdr>
          <w:bottom w:val="single" w:color="1D1D1B" w:sz="8" w:space="1"/>
        </w:pBdr>
        <w:spacing w:after="40" w:before="420"/>
      </w:pPr>
      <w:r>
        <w:rPr>
          <w:rFonts w:ascii="Open Sans" w:cs="Open Sans" w:eastAsia="Open Sans" w:hAnsi="Open Sans"/>
          <w:sz w:val="21"/>
          <w:szCs w:val="21"/>
        </w:rPr>
        <w:t xml:space="preserve"> </w:t>
      </w:r>
    </w:p>
    <w:p>
      <w:pPr>
        <w:spacing w:after="80"/>
      </w:pPr>
      <w:r>
        <w:rPr>
          <w:rFonts w:ascii="Open Sans" w:cs="Open Sans" w:eastAsia="Open Sans" w:hAnsi="Open Sans"/>
          <w:color w:val="1D1D1B"/>
          <w:sz w:val="17"/>
          <w:szCs w:val="17"/>
        </w:rPr>
        <w:t xml:space="preserve">Signature</w:t>
      </w:r>
    </w:p>
    <w:p>
      <w:pPr>
        <w:pBdr>
          <w:bottom w:val="single" w:color="1D1D1B" w:sz="8" w:space="1"/>
        </w:pBdr>
        <w:spacing w:after="40" w:before="420"/>
      </w:pPr>
      <w:r>
        <w:rPr>
          <w:rFonts w:ascii="Open Sans" w:cs="Open Sans" w:eastAsia="Open Sans" w:hAnsi="Open Sans"/>
          <w:sz w:val="21"/>
          <w:szCs w:val="21"/>
        </w:rPr>
        <w:t xml:space="preserve"> </w:t>
      </w:r>
    </w:p>
    <w:p>
      <w:pPr>
        <w:spacing w:after="80"/>
      </w:pPr>
      <w:r>
        <w:rPr>
          <w:rFonts w:ascii="Open Sans" w:cs="Open Sans" w:eastAsia="Open Sans" w:hAnsi="Open Sans"/>
          <w:color w:val="1D1D1B"/>
          <w:sz w:val="17"/>
          <w:szCs w:val="17"/>
        </w:rPr>
        <w:t xml:space="preserve">Name: William J. Gusmano · Title: Co-Founder &amp; CEO</w:t>
      </w:r>
    </w:p>
    <w:p>
      <w:pPr>
        <w:pBdr>
          <w:bottom w:val="single" w:color="1D1D1B" w:sz="8" w:space="1"/>
        </w:pBdr>
        <w:spacing w:after="40" w:before="420"/>
      </w:pPr>
      <w:r>
        <w:rPr>
          <w:rFonts w:ascii="Open Sans" w:cs="Open Sans" w:eastAsia="Open Sans" w:hAnsi="Open Sans"/>
          <w:sz w:val="21"/>
          <w:szCs w:val="21"/>
        </w:rPr>
        <w:t xml:space="preserve"> </w:t>
      </w:r>
    </w:p>
    <w:p>
      <w:pPr>
        <w:spacing w:after="80"/>
      </w:pPr>
      <w:r>
        <w:rPr>
          <w:rFonts w:ascii="Open Sans" w:cs="Open Sans" w:eastAsia="Open Sans" w:hAnsi="Open Sans"/>
          <w:color w:val="1D1D1B"/>
          <w:sz w:val="17"/>
          <w:szCs w:val="17"/>
        </w:rPr>
        <w:t xml:space="preserve">Date</w:t>
      </w:r>
    </w:p>
    <w:p>
      <w:pPr>
        <w:spacing w:after="60" w:before="320"/>
      </w:pPr>
      <w:r>
        <w:rPr>
          <w:rFonts w:ascii="Source Serif Pro" w:cs="Source Serif Pro" w:eastAsia="Source Serif Pro" w:hAnsi="Source Serif Pro"/>
          <w:b/>
          <w:bCs/>
          <w:color w:val="1D1D1B"/>
          <w:sz w:val="23"/>
          <w:szCs w:val="23"/>
        </w:rPr>
        <w:t xml:space="preserve">Sales Representative — Jeff Gibbs</w:t>
      </w:r>
    </w:p>
    <w:p>
      <w:pPr>
        <w:pBdr>
          <w:bottom w:val="single" w:color="1D1D1B" w:sz="8" w:space="1"/>
        </w:pBdr>
        <w:spacing w:after="40" w:before="420"/>
      </w:pPr>
      <w:r>
        <w:rPr>
          <w:rFonts w:ascii="Open Sans" w:cs="Open Sans" w:eastAsia="Open Sans" w:hAnsi="Open Sans"/>
          <w:sz w:val="21"/>
          <w:szCs w:val="21"/>
        </w:rPr>
        <w:t xml:space="preserve"> </w:t>
      </w:r>
    </w:p>
    <w:p>
      <w:pPr>
        <w:spacing w:after="80"/>
      </w:pPr>
      <w:r>
        <w:rPr>
          <w:rFonts w:ascii="Open Sans" w:cs="Open Sans" w:eastAsia="Open Sans" w:hAnsi="Open Sans"/>
          <w:color w:val="1D1D1B"/>
          <w:sz w:val="17"/>
          <w:szCs w:val="17"/>
        </w:rPr>
        <w:t xml:space="preserve">Signature</w:t>
      </w:r>
    </w:p>
    <w:p>
      <w:pPr>
        <w:pBdr>
          <w:bottom w:val="single" w:color="1D1D1B" w:sz="8" w:space="1"/>
        </w:pBdr>
        <w:spacing w:after="40" w:before="420"/>
      </w:pPr>
      <w:r>
        <w:rPr>
          <w:rFonts w:ascii="Open Sans" w:cs="Open Sans" w:eastAsia="Open Sans" w:hAnsi="Open Sans"/>
          <w:sz w:val="21"/>
          <w:szCs w:val="21"/>
        </w:rPr>
        <w:t xml:space="preserve"> </w:t>
      </w:r>
    </w:p>
    <w:p>
      <w:pPr>
        <w:spacing w:after="80"/>
      </w:pPr>
      <w:r>
        <w:rPr>
          <w:rFonts w:ascii="Open Sans" w:cs="Open Sans" w:eastAsia="Open Sans" w:hAnsi="Open Sans"/>
          <w:color w:val="1D1D1B"/>
          <w:sz w:val="17"/>
          <w:szCs w:val="17"/>
        </w:rPr>
        <w:t xml:space="preserve">Name: Jeff Gibbs · Title: CRO</w:t>
      </w:r>
    </w:p>
    <w:p>
      <w:pPr>
        <w:pBdr>
          <w:bottom w:val="single" w:color="1D1D1B" w:sz="8" w:space="1"/>
        </w:pBdr>
        <w:spacing w:after="40" w:before="420"/>
      </w:pPr>
      <w:r>
        <w:rPr>
          <w:rFonts w:ascii="Open Sans" w:cs="Open Sans" w:eastAsia="Open Sans" w:hAnsi="Open Sans"/>
          <w:sz w:val="21"/>
          <w:szCs w:val="21"/>
        </w:rPr>
        <w:t xml:space="preserve"> </w:t>
      </w:r>
    </w:p>
    <w:p>
      <w:pPr>
        <w:spacing w:after="80"/>
      </w:pPr>
      <w:r>
        <w:rPr>
          <w:rFonts w:ascii="Open Sans" w:cs="Open Sans" w:eastAsia="Open Sans" w:hAnsi="Open Sans"/>
          <w:color w:val="1D1D1B"/>
          <w:sz w:val="17"/>
          <w:szCs w:val="17"/>
        </w:rPr>
        <w:t xml:space="preserve">Date</w:t>
      </w:r>
    </w:p>
    <w:p>
      <w:pPr>
        <w:spacing w:before="400"/>
      </w:pPr>
      <w:r>
        <w:rPr>
          <w:rFonts w:ascii="Open Sans" w:cs="Open Sans" w:eastAsia="Open Sans" w:hAnsi="Open Sans"/>
          <w:i/>
          <w:iCs/>
          <w:color w:val="1D1D1B"/>
          <w:sz w:val="17"/>
          <w:szCs w:val="17"/>
        </w:rPr>
        <w:t xml:space="preserve">Template — not legal advice. Have counsel review before execution, particularly Sections 4A (exclusivity) and 4B (IP/confidentiality).</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D1D1B" w:sz="6" w:space="4"/>
      </w:pBdr>
      <w:jc w:val="center"/>
    </w:pPr>
    <w:r>
      <w:rPr>
        <w:rFonts w:ascii="Open Sans" w:cs="Open Sans" w:eastAsia="Open Sans" w:hAnsi="Open Sans"/>
        <w:color w:val="1D1D1B"/>
        <w:sz w:val="15"/>
        <w:szCs w:val="15"/>
      </w:rPr>
      <w:t xml:space="preserve">© 2026 The Motivated Mind Group Inc. | 480-219-2875 | support@themotivatedmindgroup.com | 260 S Arizona Ave, Chandler AZ 85225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80" w:hanging="480"/>
      </w:pPr>
      <w:rPr>
        <w:b/>
        <w:bCs/>
      </w:rPr>
    </w:lvl>
  </w:abstractNum>
  <w:abstractNum w:abstractNumId="3" w15:restartNumberingAfterBreak="0">
    <w:multiLevelType w:val="hybridMultilevel"/>
    <w:lvl w:ilvl="0" w15:tentative="1">
      <w:start w:val="1"/>
      <w:numFmt w:val="decimal"/>
      <w:lvlText w:val="%1."/>
      <w:lvlJc w:val="start"/>
      <w:pPr>
        <w:ind w:left="480" w:hanging="480"/>
      </w:pPr>
      <w:rPr>
        <w:b/>
        <w:bCs/>
      </w:rPr>
    </w:lvl>
  </w:abstractNum>
  <w:abstractNum w:abstractNumId="4" w15:restartNumberingAfterBreak="0">
    <w:multiLevelType w:val="hybridMultilevel"/>
    <w:lvl w:ilvl="0" w15:tentative="1">
      <w:start w:val="1"/>
      <w:numFmt w:val="decimal"/>
      <w:lvlText w:val="%1."/>
      <w:lvlJc w:val="start"/>
      <w:pPr>
        <w:ind w:left="480" w:hanging="480"/>
      </w:pPr>
      <w:rPr>
        <w:b/>
        <w:bCs/>
      </w:rPr>
    </w:lvl>
  </w:abstractNum>
  <w:abstractNum w:abstractNumId="5" w15:restartNumberingAfterBreak="0">
    <w:multiLevelType w:val="hybridMultilevel"/>
    <w:lvl w:ilvl="0" w15:tentative="1">
      <w:start w:val="1"/>
      <w:numFmt w:val="decimal"/>
      <w:lvlText w:val="%1."/>
      <w:lvlJc w:val="start"/>
      <w:pPr>
        <w:ind w:left="480" w:hanging="480"/>
      </w:pPr>
      <w:rPr>
        <w:b/>
        <w:bCs/>
      </w:rPr>
    </w:lvl>
  </w:abstractNum>
  <w:abstractNum w:abstractNumId="6" w15:restartNumberingAfterBreak="0">
    <w:multiLevelType w:val="hybridMultilevel"/>
    <w:lvl w:ilvl="0" w15:tentative="1">
      <w:start w:val="1"/>
      <w:numFmt w:val="decimal"/>
      <w:lvlText w:val="%1."/>
      <w:lvlJc w:val="start"/>
      <w:pPr>
        <w:ind w:left="480" w:hanging="480"/>
      </w:pPr>
      <w:rPr>
        <w:b/>
        <w:bCs/>
      </w:rPr>
    </w:lvl>
  </w:abstractNum>
  <w:abstractNum w:abstractNumId="7" w15:restartNumberingAfterBreak="0">
    <w:multiLevelType w:val="hybridMultilevel"/>
    <w:lvl w:ilvl="0" w15:tentative="1">
      <w:start w:val="1"/>
      <w:numFmt w:val="decimal"/>
      <w:lvlText w:val="%1."/>
      <w:lvlJc w:val="start"/>
      <w:pPr>
        <w:ind w:left="480" w:hanging="480"/>
      </w:pPr>
      <w:rPr>
        <w:b/>
        <w:bCs/>
      </w:rPr>
    </w:lvl>
  </w:abstractNum>
  <w:abstractNum w:abstractNumId="8" w15:restartNumberingAfterBreak="0">
    <w:multiLevelType w:val="hybridMultilevel"/>
    <w:lvl w:ilvl="0" w15:tentative="1">
      <w:start w:val="1"/>
      <w:numFmt w:val="decimal"/>
      <w:lvlText w:val="%1."/>
      <w:lvlJc w:val="start"/>
      <w:pPr>
        <w:ind w:left="480" w:hanging="480"/>
      </w:pPr>
      <w:rPr>
        <w:b/>
        <w:bCs/>
      </w:rPr>
    </w:lvl>
  </w:abstractNum>
  <w:abstractNum w:abstractNumId="9" w15:restartNumberingAfterBreak="0">
    <w:multiLevelType w:val="hybridMultilevel"/>
    <w:lvl w:ilvl="0" w15:tentative="1">
      <w:start w:val="1"/>
      <w:numFmt w:val="decimal"/>
      <w:lvlText w:val="%1."/>
      <w:lvlJc w:val="start"/>
      <w:pPr>
        <w:ind w:left="480" w:hanging="480"/>
      </w:pPr>
      <w:rPr>
        <w:b/>
        <w:bCs/>
      </w:rPr>
    </w:lvl>
  </w:abstractNum>
  <w:abstractNum w:abstractNumId="10" w15:restartNumberingAfterBreak="0">
    <w:multiLevelType w:val="hybridMultilevel"/>
    <w:lvl w:ilvl="0" w15:tentative="1">
      <w:start w:val="1"/>
      <w:numFmt w:val="decimal"/>
      <w:lvlText w:val="%1."/>
      <w:lvlJc w:val="start"/>
      <w:pPr>
        <w:ind w:left="480" w:hanging="480"/>
      </w:pPr>
      <w:rPr>
        <w:b/>
        <w:bCs/>
      </w:rPr>
    </w:lvl>
  </w:abstractNum>
  <w:abstractNum w:abstractNumId="11" w15:restartNumberingAfterBreak="0">
    <w:multiLevelType w:val="hybridMultilevel"/>
    <w:lvl w:ilvl="0" w15:tentative="1">
      <w:start w:val="1"/>
      <w:numFmt w:val="decimal"/>
      <w:lvlText w:val="%1."/>
      <w:lvlJc w:val="start"/>
      <w:pPr>
        <w:ind w:left="480" w:hanging="480"/>
      </w:pPr>
      <w:rPr>
        <w:b/>
        <w:bCs/>
      </w:r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Open Sans" w:cs="Open Sans" w:eastAsia="Open Sans" w:hAnsi="Open Sans"/>
        <w:color w:val="1D1D1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e5a0ddf5adc266c5c083cbccca70be3544b8319.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2026-08-06T21:44:19.246Z</dcterms:created>
  <dcterms:modified xsi:type="dcterms:W3CDTF">2026-08-06T21:44:19.256Z</dcterms:modified>
</cp:coreProperties>
</file>

<file path=docProps/custom.xml><?xml version="1.0" encoding="utf-8"?>
<Properties xmlns="http://schemas.openxmlformats.org/officeDocument/2006/custom-properties" xmlns:vt="http://schemas.openxmlformats.org/officeDocument/2006/docPropsVTypes"/>
</file>