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479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47900" cy="62865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Jeff Gibbs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Jeff Gibbs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starts at 25% and is capped at 35%, which is reached once Cumulative Named-Account Revenue exceeds $500,000. It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$500,000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50"/>
        <w:gridCol w:w="1500"/>
        <w:gridCol w:w="800"/>
        <w:gridCol w:w="1300"/>
        <w:gridCol w:w="1200"/>
        <w:gridCol w:w="1110"/>
      </w:tblGrid>
      <w:tr>
        <w:tc>
          <w:tcPr>
            <w:tcW w:type="dxa" w:w="21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35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2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as % of Revenue</w:t>
            </w:r>
          </w:p>
        </w:tc>
        <w:tc>
          <w:tcPr>
            <w:tcW w:type="dxa" w:w="111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13.5%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$61,875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35% (cap)</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15.75%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$101,250</w:t>
            </w:r>
          </w:p>
        </w:tc>
      </w:tr>
      <w:tr>
        <w:tc>
          <w:tcPr>
            <w:tcW w:type="dxa" w:w="21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$750,000 – $1,000,000</w:t>
            </w:r>
          </w:p>
        </w:tc>
        <w:tc>
          <w:tcPr>
            <w:tcW w:type="dxa" w:w="135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c>
          <w:tcPr>
            <w:tcW w:type="dxa" w:w="1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2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15.75%</w:t>
            </w:r>
          </w:p>
        </w:tc>
        <w:tc>
          <w:tcPr>
            <w:tcW w:type="dxa" w:w="111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$140,625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 — Jeff Gibbs</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Jeff Gibbs · Title: CRO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5a0ddf5adc266c5c083cbccca70be3544b831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2026-08-04T20:18:13.963Z</dcterms:created>
  <dcterms:modified xsi:type="dcterms:W3CDTF">2026-08-04T20:18:13.963Z</dcterms:modified>
</cp:coreProperties>
</file>

<file path=docProps/custom.xml><?xml version="1.0" encoding="utf-8"?>
<Properties xmlns="http://schemas.openxmlformats.org/officeDocument/2006/custom-properties" xmlns:vt="http://schemas.openxmlformats.org/officeDocument/2006/docPropsVTypes"/>
</file>