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86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57150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Template v1 · Confidential</w:t>
      </w:r>
    </w:p>
    <w:p>
      <w:pPr>
        <w:spacing w:after="200"/>
      </w:pPr>
      <w:r>
        <w:rPr>
          <w:rFonts w:ascii="Source Serif Pro" w:cs="Source Serif Pro" w:eastAsia="Source Serif Pro" w:hAnsi="Source Serif Pro"/>
          <w:b/>
          <w:bCs/>
          <w:color w:val="1D1D1B"/>
          <w:sz w:val="44"/>
          <w:szCs w:val="44"/>
        </w:rPr>
        <w:t xml:space="preserve">Sales Commission Agreement</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____________________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It is designed so that the commission basis for every engagement is known, fixed, and agreed before the customer signs — eliminating post-sale recalculation and dispute.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and the resulting Commissionable Gross Profit, and approved in writing (including email or electronic approval) by MMG management.</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“Commissionable Gross Profit” or “CGP” </w:t>
      </w:r>
      <w:r>
        <w:rPr>
          <w:rFonts w:ascii="Open Sans" w:cs="Open Sans" w:eastAsia="Open Sans" w:hAnsi="Open Sans"/>
          <w:color w:val="1D1D1B"/>
          <w:sz w:val="21"/>
          <w:szCs w:val="21"/>
        </w:rPr>
        <w:t xml:space="preserve">means the estimated gross profit established and approved by MMG Global LLC at the time a customer proposal or statement of work is approved. CGP equals the Approved Contract Value less the Approved Direct Delivery Costs identified in the Approved Pricing Worksheet. Once approved, the Commissionable Gross Profit shall remain </w:t>
      </w:r>
      <w:r>
        <w:rPr>
          <w:rFonts w:ascii="Open Sans" w:cs="Open Sans" w:eastAsia="Open Sans" w:hAnsi="Open Sans"/>
          <w:b/>
          <w:bCs/>
          <w:color w:val="1D1D1B"/>
          <w:sz w:val="21"/>
          <w:szCs w:val="21"/>
        </w:rPr>
        <w:t xml:space="preserve">fixed</w:t>
      </w:r>
      <w:r>
        <w:rPr>
          <w:rFonts w:ascii="Open Sans" w:cs="Open Sans" w:eastAsia="Open Sans" w:hAnsi="Open Sans"/>
          <w:color w:val="1D1D1B"/>
          <w:sz w:val="21"/>
          <w:szCs w:val="21"/>
        </w:rPr>
        <w:t xml:space="preserve"> for commission purposes and shall </w:t>
      </w:r>
      <w:r>
        <w:rPr>
          <w:rFonts w:ascii="Open Sans" w:cs="Open Sans" w:eastAsia="Open Sans" w:hAnsi="Open Sans"/>
          <w:b/>
          <w:bCs/>
          <w:color w:val="1D1D1B"/>
          <w:sz w:val="21"/>
          <w:szCs w:val="21"/>
        </w:rPr>
        <w:t xml:space="preserve">not</w:t>
      </w:r>
      <w:r>
        <w:rPr>
          <w:rFonts w:ascii="Open Sans" w:cs="Open Sans" w:eastAsia="Open Sans" w:hAnsi="Open Sans"/>
          <w:color w:val="1D1D1B"/>
          <w:sz w:val="21"/>
          <w:szCs w:val="21"/>
        </w:rPr>
        <w:t xml:space="preserve"> be adjusted for actual project costs, internal efficiencies, write-offs, scope changes, or project profitability, unless the customer contract value is increased or decreased through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Upon approval of a Change Order, MMG will prepare a revised Approved Pricing Worksheet and the CGP will be adjusted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“Gross Profit” </w:t>
      </w:r>
      <w:r>
        <w:rPr>
          <w:rFonts w:ascii="Open Sans" w:cs="Open Sans" w:eastAsia="Open Sans" w:hAnsi="Open Sans"/>
          <w:color w:val="1D1D1B"/>
          <w:sz w:val="21"/>
          <w:szCs w:val="21"/>
        </w:rPr>
        <w:t xml:space="preserve">means, for commission purposes, the Commissionable Gross Profit (CGP) as defined above — the Approved Contract Value less the Approved Direct Delivery Costs shown on the Approved Pricing Worksheet. Gross Profit for commission purposes is always the locked CGP figure, never actual or accounting gross profit.</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4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“Plan Year” </w:t>
      </w:r>
      <w:r>
        <w:rPr>
          <w:rFonts w:ascii="Open Sans" w:cs="Open Sans" w:eastAsia="Open Sans" w:hAnsi="Open Sans"/>
          <w:color w:val="1D1D1B"/>
          <w:sz w:val="21"/>
          <w:szCs w:val="21"/>
        </w:rPr>
        <w:t xml:space="preserve">means the calendar year. Cumulative revenue for the tier schedule in Section 4 resets to zero at the start of each Plan Year.</w:t>
      </w:r>
    </w:p>
    <w:p>
      <w:pPr>
        <w:pStyle w:val="ListParagraph"/>
        <w:numPr>
          <w:ilvl w:val="0"/>
          <w:numId w:val="2"/>
        </w:numPr>
        <w:spacing w:after="140" w:line="300"/>
      </w:pPr>
      <w:r>
        <w:rPr>
          <w:rFonts w:ascii="Open Sans" w:cs="Open Sans" w:eastAsia="Open Sans" w:hAnsi="Open Sans"/>
          <w:b/>
          <w:bCs/>
          <w:color w:val="1D1D1B"/>
          <w:sz w:val="21"/>
          <w:szCs w:val="21"/>
        </w:rPr>
        <w:t xml:space="preserve">“Cumulative Named-Account Revenue” </w:t>
      </w:r>
      <w:r>
        <w:rPr>
          <w:rFonts w:ascii="Open Sans" w:cs="Open Sans" w:eastAsia="Open Sans" w:hAnsi="Open Sans"/>
          <w:color w:val="1D1D1B"/>
          <w:sz w:val="21"/>
          <w:szCs w:val="21"/>
        </w:rPr>
        <w:t xml:space="preserve">means the running total of Approved Contract Value of the Sales Representative's Named and Approved Account engagements approved during the Plan Year, measured in the order the Approved Pricing Worksheets are approved.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incremental tier rate(s) set out in Section 4.2, applied to Gross Profit (CGP).</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calculated on the profit estimate locked when the quote is approved — Approved Contract Value minus budgeted employee and approved subcontractor labor. If the project later runs over or under budget, the commission basis does not change. Only a customer-approved change order changes it.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Illustrative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(estimated employee + approved subcontractor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Commissionable Gross Profit (CGP)</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$45,000</w:t>
            </w:r>
          </w:p>
        </w:tc>
      </w:tr>
    </w:tbl>
    <w:p>
      <w:pPr>
        <w:spacing w:after="160" w:before="160"/>
      </w:pPr>
      <w:r>
        <w:rPr>
          <w:rFonts w:ascii="Open Sans" w:cs="Open Sans" w:eastAsia="Open Sans" w:hAnsi="Open Sans"/>
          <w:color w:val="1D1D1B"/>
          <w:sz w:val="21"/>
          <w:szCs w:val="21"/>
        </w:rPr>
        <w:t xml:space="preserve">Whether the project ultimately runs over or under budget, commission on this engagement is calculated on $45,000.</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Commission Plan — Named and Approved Accounts</w:t>
      </w:r>
    </w:p>
    <w:p>
      <w:pPr>
        <w:pStyle w:val="ListParagraph"/>
        <w:numPr>
          <w:ilvl w:val="0"/>
          <w:numId w:val="3"/>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3"/>
        </w:numPr>
        <w:spacing w:after="140" w:line="300"/>
      </w:pPr>
      <w:r>
        <w:rPr>
          <w:rFonts w:ascii="Open Sans" w:cs="Open Sans" w:eastAsia="Open Sans" w:hAnsi="Open Sans"/>
          <w:b/>
          <w:bCs/>
          <w:color w:val="1D1D1B"/>
          <w:sz w:val="21"/>
          <w:szCs w:val="21"/>
        </w:rPr>
        <w:t xml:space="preserve">Incremental tier schedule. </w:t>
      </w:r>
      <w:r>
        <w:rPr>
          <w:rFonts w:ascii="Open Sans" w:cs="Open Sans" w:eastAsia="Open Sans" w:hAnsi="Open Sans"/>
          <w:color w:val="1D1D1B"/>
          <w:sz w:val="21"/>
          <w:szCs w:val="21"/>
        </w:rPr>
        <w:t xml:space="preserve">The Commission Rate starts at 25% and is capped at 35%, which is reached once Cumulative Named-Account Revenue exceeds $1,000,000. It steps up as Cumulative Named-Account Revenue grows during the Plan Year, per the table below. Rates are incremental (marginal): each rate applies only to the Gross Profit (CGP) attributable to revenue falling within that band — crossing a threshold does not retroactively change the rate on earlier revenue. If a single engagement spans a threshold, its CGP is apportioned pro-rata between the bands.</w:t>
      </w:r>
    </w:p>
    <w:p>
      <w:pPr>
        <w:pStyle w:val="ListParagraph"/>
        <w:numPr>
          <w:ilvl w:val="0"/>
          <w:numId w:val="3"/>
        </w:numPr>
        <w:spacing w:after="140" w:line="300"/>
      </w:pPr>
      <w:r>
        <w:rPr>
          <w:rFonts w:ascii="Open Sans" w:cs="Open Sans" w:eastAsia="Open Sans" w:hAnsi="Open Sans"/>
          <w:color w:val="1D1D1B"/>
          <w:sz w:val="21"/>
          <w:szCs w:val="21"/>
        </w:rPr>
        <w:t xml:space="preserve">The applicable tier rate(s) for an engagement are fixed at Approved Pricing Worksheet approval, based on Cumulative Named-Account Revenue at that time, and are stated on the worksheet alongside the CGP.</w:t>
      </w:r>
    </w:p>
    <w:p>
      <w:pPr>
        <w:pStyle w:val="ListParagraph"/>
        <w:numPr>
          <w:ilvl w:val="0"/>
          <w:numId w:val="3"/>
        </w:numPr>
        <w:spacing w:after="140" w:line="300"/>
      </w:pPr>
      <w:r>
        <w:rPr>
          <w:rFonts w:ascii="Open Sans" w:cs="Open Sans" w:eastAsia="Open Sans" w:hAnsi="Open Sans"/>
          <w:color w:val="1D1D1B"/>
          <w:sz w:val="21"/>
          <w:szCs w:val="21"/>
        </w:rPr>
        <w:t xml:space="preserve">No commission accrues on any proposal that lacks an Approved Pricing Worksheet. MMG will prepare and approve a pricing worksheet for every proposal before it is sent to the customer.</w:t>
      </w:r>
    </w:p>
    <w:p>
      <w:pPr>
        <w:pStyle w:val="ListParagraph"/>
        <w:numPr>
          <w:ilvl w:val="0"/>
          <w:numId w:val="3"/>
        </w:numPr>
        <w:spacing w:after="140" w:line="300"/>
      </w:pPr>
      <w:r>
        <w:rPr>
          <w:rFonts w:ascii="Open Sans" w:cs="Open Sans" w:eastAsia="Open Sans" w:hAnsi="Open Sans"/>
          <w:color w:val="1D1D1B"/>
          <w:sz w:val="21"/>
          <w:szCs w:val="21"/>
        </w:rPr>
        <w:t xml:space="preserve">Actual project profitability — favorable or unfavorable — has no effect on commissions. Cost overruns, scope creep absorbed without a Change Order, staffing decisions, vendor changes, internal inefficiencies, and write-offs neither reduce nor increase the commission basis.</w:t>
      </w:r>
    </w:p>
    <w:p>
      <w:pPr>
        <w:pStyle w:val="ListParagraph"/>
        <w:numPr>
          <w:ilvl w:val="0"/>
          <w:numId w:val="3"/>
        </w:numPr>
        <w:spacing w:after="140" w:line="300"/>
      </w:pPr>
      <w:r>
        <w:rPr>
          <w:rFonts w:ascii="Open Sans" w:cs="Open Sans" w:eastAsia="Open Sans" w:hAnsi="Open Sans"/>
          <w:color w:val="1D1D1B"/>
          <w:sz w:val="21"/>
          <w:szCs w:val="21"/>
        </w:rPr>
        <w:t xml:space="preserve">Discounts approved by MMG management before proposal approval are reflected in the Approved Contract Value. Post-approval discounts or concessions granted by MMG without a Change Order do not reduce CGP.</w:t>
      </w:r>
    </w:p>
    <w:p>
      <w:pPr>
        <w:spacing w:after="80" w:before="120"/>
      </w:pPr>
      <w:r>
        <w:rPr>
          <w:rFonts w:ascii="Open Sans" w:cs="Open Sans" w:eastAsia="Open Sans" w:hAnsi="Open Sans"/>
          <w:b/>
          <w:bCs/>
          <w:color w:val="1D1D1B"/>
          <w:sz w:val="21"/>
          <w:szCs w:val="21"/>
        </w:rPr>
        <w:t xml:space="preserve">Incremental tier schedule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Tier</w:t>
            </w:r>
          </w:p>
        </w:tc>
        <w:tc>
          <w:tcPr>
            <w:tcW w:type="dxa" w:w="54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Named-Account Revenue (Plan Year)</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Commission Rate (% of Gross Profit)</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First $250,000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$250,000 up to $500,000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27.5%</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$500,000 up to $750,000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30%</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$750,000 up to $1,000,000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32.5%</w:t>
            </w:r>
          </w:p>
        </w:tc>
      </w:tr>
      <w:tr>
        <w:tc>
          <w:tcPr>
            <w:tcW w:type="dxa" w:w="9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5</w:t>
            </w:r>
          </w:p>
        </w:tc>
        <w:tc>
          <w:tcPr>
            <w:tcW w:type="dxa" w:w="54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Over $1,000,000</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35% (cap)</w:t>
            </w:r>
          </w:p>
        </w:tc>
      </w:tr>
    </w:tbl>
    <w:p>
      <w:pPr>
        <w:spacing w:after="80" w:before="200"/>
      </w:pPr>
      <w:r>
        <w:rPr>
          <w:rFonts w:ascii="Open Sans" w:cs="Open Sans" w:eastAsia="Open Sans" w:hAnsi="Open Sans"/>
          <w:color w:val="1D1D1B"/>
          <w:sz w:val="20"/>
          <w:szCs w:val="20"/>
        </w:rPr>
        <w:t xml:space="preserve">Sample payout (illustration only — assumes Gross Profit = 45% of Approved Contract Value in every band; actual Gross Profit per engagement comes from its Approved Pricing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1800"/>
        <w:gridCol w:w="800"/>
        <w:gridCol w:w="1500"/>
        <w:gridCol w:w="1420"/>
      </w:tblGrid>
      <w:tr>
        <w:tc>
          <w:tcPr>
            <w:tcW w:type="dxa" w:w="234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Revenue band</w:t>
            </w:r>
          </w:p>
        </w:tc>
        <w:tc>
          <w:tcPr>
            <w:tcW w:type="dxa" w:w="1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Revenue in band</w:t>
            </w:r>
          </w:p>
        </w:tc>
        <w:tc>
          <w:tcPr>
            <w:tcW w:type="dxa" w:w="18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Gross Profit in band (45%)</w:t>
            </w:r>
          </w:p>
        </w:tc>
        <w:tc>
          <w:tcPr>
            <w:tcW w:type="dxa" w:w="8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Rate</w:t>
            </w:r>
          </w:p>
        </w:tc>
        <w:tc>
          <w:tcPr>
            <w:tcW w:type="dxa" w:w="1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Commission in band</w:t>
            </w:r>
          </w:p>
        </w:tc>
        <w:tc>
          <w:tcPr>
            <w:tcW w:type="dxa" w:w="142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commission</w:t>
            </w:r>
          </w:p>
        </w:tc>
      </w:tr>
      <w:tr>
        <w:tc>
          <w:tcPr>
            <w:tcW w:type="dxa" w:w="234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$0 – $250,000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$28,125</w:t>
            </w:r>
          </w:p>
        </w:tc>
        <w:tc>
          <w:tcPr>
            <w:tcW w:type="dxa" w:w="142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$28,125</w:t>
            </w:r>
          </w:p>
        </w:tc>
      </w:tr>
      <w:tr>
        <w:tc>
          <w:tcPr>
            <w:tcW w:type="dxa" w:w="234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 – $500,000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27.5%</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$30,938</w:t>
            </w:r>
          </w:p>
        </w:tc>
        <w:tc>
          <w:tcPr>
            <w:tcW w:type="dxa" w:w="142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$59,063</w:t>
            </w:r>
          </w:p>
        </w:tc>
      </w:tr>
      <w:tr>
        <w:tc>
          <w:tcPr>
            <w:tcW w:type="dxa" w:w="234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$500,000 – $750,000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$33,750</w:t>
            </w:r>
          </w:p>
        </w:tc>
        <w:tc>
          <w:tcPr>
            <w:tcW w:type="dxa" w:w="142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$92,813</w:t>
            </w:r>
          </w:p>
        </w:tc>
      </w:tr>
      <w:tr>
        <w:tc>
          <w:tcPr>
            <w:tcW w:type="dxa" w:w="234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$750,000 – $1,000,000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32.5%</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$36,563</w:t>
            </w:r>
          </w:p>
        </w:tc>
        <w:tc>
          <w:tcPr>
            <w:tcW w:type="dxa" w:w="142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$129,375</w:t>
            </w:r>
          </w:p>
        </w:tc>
      </w:tr>
      <w:tr>
        <w:tc>
          <w:tcPr>
            <w:tcW w:type="dxa" w:w="234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$1,000,000 – $1,250,000</w:t>
            </w:r>
          </w:p>
        </w:tc>
        <w:tc>
          <w:tcPr>
            <w:tcW w:type="dxa" w:w="1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$250,000</w:t>
            </w:r>
          </w:p>
        </w:tc>
        <w:tc>
          <w:tcPr>
            <w:tcW w:type="dxa" w:w="18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$112,500</w:t>
            </w:r>
          </w:p>
        </w:tc>
        <w:tc>
          <w:tcPr>
            <w:tcW w:type="dxa" w:w="8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35% (cap)</w:t>
            </w:r>
          </w:p>
        </w:tc>
        <w:tc>
          <w:tcPr>
            <w:tcW w:type="dxa" w:w="1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$39,375</w:t>
            </w:r>
          </w:p>
        </w:tc>
        <w:tc>
          <w:tcPr>
            <w:tcW w:type="dxa" w:w="142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$168,750</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Earning, Payment, and Adjustments</w:t>
      </w:r>
    </w:p>
    <w:p>
      <w:pPr>
        <w:pStyle w:val="ListParagraph"/>
        <w:numPr>
          <w:ilvl w:val="0"/>
          <w:numId w:val="4"/>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4"/>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4"/>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4"/>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increases or decreases the Approved Contract Value, the CGP is recalculated per the revised Approved Pricing Worksheet and applied prospectively.</w:t>
      </w:r>
    </w:p>
    <w:p>
      <w:pPr>
        <w:pStyle w:val="ListParagraph"/>
        <w:numPr>
          <w:ilvl w:val="0"/>
          <w:numId w:val="4"/>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proposal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Termination</w:t>
      </w:r>
    </w:p>
    <w:p>
      <w:pPr>
        <w:pStyle w:val="ListParagraph"/>
        <w:numPr>
          <w:ilvl w:val="0"/>
          <w:numId w:val="5"/>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5"/>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5"/>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Records and Dispute Resolution</w:t>
      </w:r>
    </w:p>
    <w:p>
      <w:pPr>
        <w:pStyle w:val="ListParagraph"/>
        <w:numPr>
          <w:ilvl w:val="0"/>
          <w:numId w:val="6"/>
        </w:numPr>
        <w:spacing w:after="140" w:line="300"/>
      </w:pPr>
      <w:r>
        <w:rPr>
          <w:rFonts w:ascii="Open Sans" w:cs="Open Sans" w:eastAsia="Open Sans" w:hAnsi="Open Sans"/>
          <w:color w:val="1D1D1B"/>
          <w:sz w:val="21"/>
          <w:szCs w:val="21"/>
        </w:rPr>
        <w:t xml:space="preserve">The Approved Pricing Worksheet is the conclusive record of the commission basis for each engagement. MMG will provide the Sales Representative a copy of each Approved Pricing Worksheet (or the CGP figure derived from it) at or before proposal approval.</w:t>
      </w:r>
    </w:p>
    <w:p>
      <w:pPr>
        <w:pStyle w:val="ListParagraph"/>
        <w:numPr>
          <w:ilvl w:val="0"/>
          <w:numId w:val="6"/>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6"/>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commission terms, customer lists, and deal terms, both during and after the term of this Agreement, and shall use such information solely to perform under this Agreement.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General Provisions</w:t>
      </w:r>
    </w:p>
    <w:p>
      <w:pPr>
        <w:pStyle w:val="ListParagraph"/>
        <w:numPr>
          <w:ilvl w:val="0"/>
          <w:numId w:val="7"/>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7"/>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7"/>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Commission Rate prospectively for future engagements upon thirty (30) days’ written notice.</w:t>
      </w:r>
    </w:p>
    <w:p>
      <w:pPr>
        <w:pStyle w:val="ListParagraph"/>
        <w:numPr>
          <w:ilvl w:val="0"/>
          <w:numId w:val="7"/>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7"/>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7"/>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Commissionable Gross Profit (CGP)</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Cumulative Named-Account Revenue before this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tier rate(s) per Section 4.2</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Management approval (name /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(print) · Title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460c8ab2142767533f0038c249ebefd03059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2026-08-04T18:42:31.496Z</dcterms:created>
  <dcterms:modified xsi:type="dcterms:W3CDTF">2026-08-04T18:42:31.510Z</dcterms:modified>
</cp:coreProperties>
</file>

<file path=docProps/custom.xml><?xml version="1.0" encoding="utf-8"?>
<Properties xmlns="http://schemas.openxmlformats.org/officeDocument/2006/custom-properties" xmlns:vt="http://schemas.openxmlformats.org/officeDocument/2006/docPropsVTypes"/>
</file>