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Jeff Gibbs · Confidential</w:t>
      </w:r>
    </w:p>
    <w:p>
      <w:pPr>
        <w:spacing w:after="200"/>
      </w:pPr>
      <w:r>
        <w:rPr>
          <w:rFonts w:ascii="Source Serif Pro" w:cs="Source Serif Pro" w:eastAsia="Source Serif Pro" w:hAnsi="Source Serif Pro"/>
          <w:b/>
          <w:bCs/>
          <w:color w:val="1D1D1B"/>
          <w:sz w:val="44"/>
          <w:szCs w:val="44"/>
        </w:rPr>
        <w:t xml:space="preserve">Sales Commission Agreement</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or the “</w:t>
      </w:r>
      <w:r>
        <w:rPr>
          <w:rFonts w:ascii="Open Sans" w:cs="Open Sans" w:eastAsia="Open Sans" w:hAnsi="Open Sans"/>
          <w:b/>
          <w:bCs/>
          <w:color w:val="1D1D1B"/>
          <w:sz w:val="21"/>
          <w:szCs w:val="21"/>
        </w:rPr>
        <w:t xml:space="preserve">Company</w:t>
      </w:r>
      <w:r>
        <w:rPr>
          <w:rFonts w:ascii="Open Sans" w:cs="Open Sans" w:eastAsia="Open Sans" w:hAnsi="Open Sans"/>
          <w:color w:val="1D1D1B"/>
          <w:sz w:val="21"/>
          <w:szCs w:val="21"/>
        </w:rPr>
        <w:t xml:space="preserve">”), and Jeff Gibbs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Purpose</w:t>
      </w:r>
    </w:p>
    <w:p>
      <w:pPr>
        <w:spacing w:after="160" w:line="300"/>
      </w:pPr>
      <w:r>
        <w:rPr>
          <w:rFonts w:ascii="Open Sans" w:cs="Open Sans" w:eastAsia="Open Sans" w:hAnsi="Open Sans"/>
          <w:color w:val="1D1D1B"/>
          <w:sz w:val="21"/>
          <w:szCs w:val="21"/>
        </w:rPr>
        <w:t xml:space="preserve">This Agreement establishes the terms under which the Sales Representative earns commissions on sales of MMG products and services. It is designed so that the commission basis for every engagement is known, fixed, and agreed before the customer signs — eliminating post-sale recalculation and dispute.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means the total selling price of a customer engagement as stated in the customer proposal, statement of work, or contract approved by MMG management, as such value may be increased or decreased solely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the internal pricing worksheet prepared by MMG for each proposal before it is sent to the customer, setting out the Approved Contract Value, the Approved Direct Delivery Costs, and the resulting Commissionable Gross Profit, and approved in writing (including email or electronic approval) by MMG management.</w:t>
      </w:r>
    </w:p>
    <w:p>
      <w:pPr>
        <w:pStyle w:val="ListParagraph"/>
        <w:numPr>
          <w:ilvl w:val="0"/>
          <w:numId w:val="2"/>
        </w:numPr>
        <w:spacing w:after="140" w:line="300"/>
      </w:pPr>
      <w:r>
        <w:rPr>
          <w:rFonts w:ascii="Open Sans" w:cs="Open Sans" w:eastAsia="Open Sans" w:hAnsi="Open Sans"/>
          <w:b/>
          <w:bCs/>
          <w:color w:val="1D1D1B"/>
          <w:sz w:val="21"/>
          <w:szCs w:val="21"/>
        </w:rPr>
        <w:t xml:space="preserve">“Approved Direct Delivery Costs” </w:t>
      </w:r>
      <w:r>
        <w:rPr>
          <w:rFonts w:ascii="Open Sans" w:cs="Open Sans" w:eastAsia="Open Sans" w:hAnsi="Open Sans"/>
          <w:color w:val="1D1D1B"/>
          <w:sz w:val="21"/>
          <w:szCs w:val="21"/>
        </w:rPr>
        <w:t xml:space="preserve">means, for a given engagement, solely (a) the labor costs of MMG employees specifically budgeted for that engagement, and (b) the labor costs of approved subcontractors and freelancers (including, without limitation, video production, instructional design, animation, and specialized consulting talent) specifically budgeted for that engagement, in each case as identified in the Approved Pricing Worksheet. Approved Direct Delivery Costs expressly </w:t>
      </w:r>
      <w:r>
        <w:rPr>
          <w:rFonts w:ascii="Open Sans" w:cs="Open Sans" w:eastAsia="Open Sans" w:hAnsi="Open Sans"/>
          <w:b/>
          <w:bCs/>
          <w:color w:val="1D1D1B"/>
          <w:sz w:val="21"/>
          <w:szCs w:val="21"/>
        </w:rPr>
        <w:t xml:space="preserve">exclude</w:t>
      </w:r>
      <w:r>
        <w:rPr>
          <w:rFonts w:ascii="Open Sans" w:cs="Open Sans" w:eastAsia="Open Sans" w:hAnsi="Open Sans"/>
          <w:color w:val="1D1D1B"/>
          <w:sz w:val="21"/>
          <w:szCs w:val="21"/>
        </w:rPr>
        <w:t xml:space="preserve"> all company overhead and operating expenses, including without limitation rent, executive salaries, software subscriptions, marketing, general and administrative expenses, and office overhead.</w:t>
      </w:r>
    </w:p>
    <w:p>
      <w:pPr>
        <w:pStyle w:val="ListParagraph"/>
        <w:numPr>
          <w:ilvl w:val="0"/>
          <w:numId w:val="2"/>
        </w:numPr>
        <w:spacing w:after="140" w:line="300"/>
      </w:pPr>
      <w:r>
        <w:rPr>
          <w:rFonts w:ascii="Open Sans" w:cs="Open Sans" w:eastAsia="Open Sans" w:hAnsi="Open Sans"/>
          <w:b/>
          <w:bCs/>
          <w:color w:val="1D1D1B"/>
          <w:sz w:val="21"/>
          <w:szCs w:val="21"/>
        </w:rPr>
        <w:t xml:space="preserve">“Commissionable Gross Profit” or “CGP” </w:t>
      </w:r>
      <w:r>
        <w:rPr>
          <w:rFonts w:ascii="Open Sans" w:cs="Open Sans" w:eastAsia="Open Sans" w:hAnsi="Open Sans"/>
          <w:color w:val="1D1D1B"/>
          <w:sz w:val="21"/>
          <w:szCs w:val="21"/>
        </w:rPr>
        <w:t xml:space="preserve">means the estimated gross profit established and approved by MMG Global LLC at the time a customer proposal or statement of work is approved. CGP equals the Approved Contract Value less the Approved Direct Delivery Costs identified in the Approved Pricing Worksheet. Once approved, the Commissionable Gross Profit shall remain </w:t>
      </w:r>
      <w:r>
        <w:rPr>
          <w:rFonts w:ascii="Open Sans" w:cs="Open Sans" w:eastAsia="Open Sans" w:hAnsi="Open Sans"/>
          <w:b/>
          <w:bCs/>
          <w:color w:val="1D1D1B"/>
          <w:sz w:val="21"/>
          <w:szCs w:val="21"/>
        </w:rPr>
        <w:t xml:space="preserve">fixed</w:t>
      </w:r>
      <w:r>
        <w:rPr>
          <w:rFonts w:ascii="Open Sans" w:cs="Open Sans" w:eastAsia="Open Sans" w:hAnsi="Open Sans"/>
          <w:color w:val="1D1D1B"/>
          <w:sz w:val="21"/>
          <w:szCs w:val="21"/>
        </w:rPr>
        <w:t xml:space="preserve"> for commission purposes and shall </w:t>
      </w:r>
      <w:r>
        <w:rPr>
          <w:rFonts w:ascii="Open Sans" w:cs="Open Sans" w:eastAsia="Open Sans" w:hAnsi="Open Sans"/>
          <w:b/>
          <w:bCs/>
          <w:color w:val="1D1D1B"/>
          <w:sz w:val="21"/>
          <w:szCs w:val="21"/>
        </w:rPr>
        <w:t xml:space="preserve">not</w:t>
      </w:r>
      <w:r>
        <w:rPr>
          <w:rFonts w:ascii="Open Sans" w:cs="Open Sans" w:eastAsia="Open Sans" w:hAnsi="Open Sans"/>
          <w:color w:val="1D1D1B"/>
          <w:sz w:val="21"/>
          <w:szCs w:val="21"/>
        </w:rPr>
        <w:t xml:space="preserve"> be adjusted for actual project costs, internal efficiencies, write-offs, scope changes, or project profitability, unless the customer contract value is increased or decreased through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“Change Order” </w:t>
      </w:r>
      <w:r>
        <w:rPr>
          <w:rFonts w:ascii="Open Sans" w:cs="Open Sans" w:eastAsia="Open Sans" w:hAnsi="Open Sans"/>
          <w:color w:val="1D1D1B"/>
          <w:sz w:val="21"/>
          <w:szCs w:val="21"/>
        </w:rPr>
        <w:t xml:space="preserve">means a written modification to a customer contract, approved by both MMG management and the customer, that increases or decreases the Approved Contract Value. Upon approval of a Change Order, MMG will prepare a revised Approved Pricing Worksheet and the CGP will be adjusted accordingly for amounts invoiced on or after the Change Order date.</w:t>
      </w:r>
    </w:p>
    <w:p>
      <w:pPr>
        <w:pStyle w:val="ListParagraph"/>
        <w:numPr>
          <w:ilvl w:val="0"/>
          <w:numId w:val="2"/>
        </w:numPr>
        <w:spacing w:after="140" w:line="300"/>
      </w:pPr>
      <w:r>
        <w:rPr>
          <w:rFonts w:ascii="Open Sans" w:cs="Open Sans" w:eastAsia="Open Sans" w:hAnsi="Open Sans"/>
          <w:b/>
          <w:bCs/>
          <w:color w:val="1D1D1B"/>
          <w:sz w:val="21"/>
          <w:szCs w:val="21"/>
        </w:rPr>
        <w:t xml:space="preserve">“Gross Profit” </w:t>
      </w:r>
      <w:r>
        <w:rPr>
          <w:rFonts w:ascii="Open Sans" w:cs="Open Sans" w:eastAsia="Open Sans" w:hAnsi="Open Sans"/>
          <w:color w:val="1D1D1B"/>
          <w:sz w:val="21"/>
          <w:szCs w:val="21"/>
        </w:rPr>
        <w:t xml:space="preserve">means, for commission purposes, the Commissionable Gross Profit (CGP) as defined above — the Approved Contract Value less the Approved Direct Delivery Costs shown on the Approved Pricing Worksheet. Gross Profit for commission purposes is always the locked CGP figure, never actual or accounting gross profit.</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 or a defined portion of a customer account, such as a specific division, business unit, buying group, or opportunity — that the Sales Representative has requested in writing and that MMG has expressly approved in writing as commissionable for that Sales Representative (recorded in Exhibit B). MMG may grant, deny, scope, condition, or prospectively revoke any such approval in its sole discretion. Approval of a portion of an account does not make any other portion of that account commissionable. Commissions under Section 4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Default — no commission without approval. </w:t>
      </w:r>
      <w:r>
        <w:rPr>
          <w:rFonts w:ascii="Open Sans" w:cs="Open Sans" w:eastAsia="Open Sans" w:hAnsi="Open Sans"/>
          <w:color w:val="1D1D1B"/>
          <w:sz w:val="21"/>
          <w:szCs w:val="21"/>
        </w:rPr>
        <w:t xml:space="preserve">Every account, and every portion of an account, that is not a Named and Approved Account of the Sales Representative is non-commissionable. No designation, writing, or other action by MMG is required to make or keep an account non-commissionable.</w:t>
      </w:r>
    </w:p>
    <w:p>
      <w:pPr>
        <w:pStyle w:val="ListParagraph"/>
        <w:numPr>
          <w:ilvl w:val="0"/>
          <w:numId w:val="2"/>
        </w:numPr>
        <w:spacing w:after="140" w:line="300"/>
      </w:pPr>
      <w:r>
        <w:rPr>
          <w:rFonts w:ascii="Open Sans" w:cs="Open Sans" w:eastAsia="Open Sans" w:hAnsi="Open Sans"/>
          <w:b/>
          <w:bCs/>
          <w:color w:val="1D1D1B"/>
          <w:sz w:val="21"/>
          <w:szCs w:val="21"/>
        </w:rPr>
        <w:t xml:space="preserve">“Plan Year” </w:t>
      </w:r>
      <w:r>
        <w:rPr>
          <w:rFonts w:ascii="Open Sans" w:cs="Open Sans" w:eastAsia="Open Sans" w:hAnsi="Open Sans"/>
          <w:color w:val="1D1D1B"/>
          <w:sz w:val="21"/>
          <w:szCs w:val="21"/>
        </w:rPr>
        <w:t xml:space="preserve">means the calendar year. Cumulative revenue for the tier schedule in Section 4 resets to zero at the start of each Plan Year.</w:t>
      </w:r>
    </w:p>
    <w:p>
      <w:pPr>
        <w:pStyle w:val="ListParagraph"/>
        <w:numPr>
          <w:ilvl w:val="0"/>
          <w:numId w:val="2"/>
        </w:numPr>
        <w:spacing w:after="140" w:line="300"/>
      </w:pPr>
      <w:r>
        <w:rPr>
          <w:rFonts w:ascii="Open Sans" w:cs="Open Sans" w:eastAsia="Open Sans" w:hAnsi="Open Sans"/>
          <w:b/>
          <w:bCs/>
          <w:color w:val="1D1D1B"/>
          <w:sz w:val="21"/>
          <w:szCs w:val="21"/>
        </w:rPr>
        <w:t xml:space="preserve">“Cumulative Named-Account Revenue” </w:t>
      </w:r>
      <w:r>
        <w:rPr>
          <w:rFonts w:ascii="Open Sans" w:cs="Open Sans" w:eastAsia="Open Sans" w:hAnsi="Open Sans"/>
          <w:color w:val="1D1D1B"/>
          <w:sz w:val="21"/>
          <w:szCs w:val="21"/>
        </w:rPr>
        <w:t xml:space="preserve">means the running total of Approved Contract Value of the Sales Representative's Named and Approved Account engagements approved during the Plan Year, measured in the order the Approved Pricing Worksheets are approved.</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the incremental tier rate(s) set out in Section 4.2, applied to Gross Profit (CGP).</w:t>
      </w:r>
    </w:p>
    <w:p>
      <w:pPr>
        <w:pStyle w:val="ListParagraph"/>
        <w:numPr>
          <w:ilvl w:val="0"/>
          <w:numId w:val="2"/>
        </w:numPr>
        <w:spacing w:after="140" w:line="300"/>
      </w:pPr>
      <w:r>
        <w:rPr>
          <w:rFonts w:ascii="Open Sans" w:cs="Open Sans" w:eastAsia="Open Sans" w:hAnsi="Open Sans"/>
          <w:b/>
          <w:bCs/>
          <w:color w:val="1D1D1B"/>
          <w:sz w:val="21"/>
          <w:szCs w:val="21"/>
        </w:rPr>
        <w:t xml:space="preserve">“Net Customer Payment” </w:t>
      </w:r>
      <w:r>
        <w:rPr>
          <w:rFonts w:ascii="Open Sans" w:cs="Open Sans" w:eastAsia="Open Sans" w:hAnsi="Open Sans"/>
          <w:color w:val="1D1D1B"/>
          <w:sz w:val="21"/>
          <w:szCs w:val="21"/>
        </w:rPr>
        <w:t xml:space="preserve">means amounts actually received by MMG from the customer, net of refunds, credits, and chargebacks.</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above): </w:t>
      </w:r>
      <w:r>
        <w:rPr>
          <w:rFonts w:ascii="Open Sans" w:cs="Open Sans" w:eastAsia="Open Sans" w:hAnsi="Open Sans"/>
          <w:color w:val="1D1D1B"/>
          <w:sz w:val="20"/>
          <w:szCs w:val="20"/>
        </w:rPr>
        <w:t xml:space="preserve">Commission is calculated on the profit estimate locked when the quote is approved — Approved Contract Value minus budgeted employee and approved subcontractor labor. If the project later runs over or under budget, the commission basis does not change. Only a customer-approved change order changes it.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Illustrative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(Sales Price)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(estimated employee + approved subcontractor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$55,000</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Commissionable Gross Profit (CGP)</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$45,000</w:t>
            </w:r>
          </w:p>
        </w:tc>
      </w:tr>
    </w:tbl>
    <w:p>
      <w:pPr>
        <w:spacing w:after="160" w:before="160"/>
      </w:pPr>
      <w:r>
        <w:rPr>
          <w:rFonts w:ascii="Open Sans" w:cs="Open Sans" w:eastAsia="Open Sans" w:hAnsi="Open Sans"/>
          <w:color w:val="1D1D1B"/>
          <w:sz w:val="21"/>
          <w:szCs w:val="21"/>
        </w:rPr>
        <w:t xml:space="preserve">Whether the project ultimately runs over or under budget, commission on this engagement is calculated on $45,000.</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Commission Plan — Named and Approved Accounts</w:t>
      </w:r>
    </w:p>
    <w:p>
      <w:pPr>
        <w:pStyle w:val="ListParagraph"/>
        <w:numPr>
          <w:ilvl w:val="0"/>
          <w:numId w:val="3"/>
        </w:numPr>
        <w:spacing w:after="140" w:line="300"/>
      </w:pPr>
      <w:r>
        <w:rPr>
          <w:rFonts w:ascii="Open Sans" w:cs="Open Sans" w:eastAsia="Open Sans" w:hAnsi="Open Sans"/>
          <w:b/>
          <w:bCs/>
          <w:color w:val="1D1D1B"/>
          <w:sz w:val="21"/>
          <w:szCs w:val="21"/>
        </w:rPr>
        <w:t xml:space="preserve">Scope — approval required. </w:t>
      </w:r>
      <w:r>
        <w:rPr>
          <w:rFonts w:ascii="Open Sans" w:cs="Open Sans" w:eastAsia="Open Sans" w:hAnsi="Open Sans"/>
          <w:color w:val="1D1D1B"/>
          <w:sz w:val="21"/>
          <w:szCs w:val="21"/>
        </w:rPr>
        <w:t xml:space="preserve">Commissions are earned only on Named and Approved Account engagements sold by the Sales Representative and accepted by MMG. The Sales Representative must request account approval in writing before pursuing commissionable business; MMG may approve, deny, or scope the request (including limiting approval to a specific division, business unit, buying group, or opportunity within a larger account) in its sole discretion. All other business is non-commissionable by default.</w:t>
      </w:r>
    </w:p>
    <w:p>
      <w:pPr>
        <w:pStyle w:val="ListParagraph"/>
        <w:numPr>
          <w:ilvl w:val="0"/>
          <w:numId w:val="3"/>
        </w:numPr>
        <w:spacing w:after="140" w:line="300"/>
      </w:pPr>
      <w:r>
        <w:rPr>
          <w:rFonts w:ascii="Open Sans" w:cs="Open Sans" w:eastAsia="Open Sans" w:hAnsi="Open Sans"/>
          <w:b/>
          <w:bCs/>
          <w:color w:val="1D1D1B"/>
          <w:sz w:val="21"/>
          <w:szCs w:val="21"/>
        </w:rPr>
        <w:t xml:space="preserve">Incremental tier schedule. </w:t>
      </w:r>
      <w:r>
        <w:rPr>
          <w:rFonts w:ascii="Open Sans" w:cs="Open Sans" w:eastAsia="Open Sans" w:hAnsi="Open Sans"/>
          <w:color w:val="1D1D1B"/>
          <w:sz w:val="21"/>
          <w:szCs w:val="21"/>
        </w:rPr>
        <w:t xml:space="preserve">The Commission Rate starts at 25% and is capped at 35%, which is reached once Cumulative Named-Account Revenue exceeds $500,000. It steps up as Cumulative Named-Account Revenue grows during the Plan Year, per the table below. Rates are incremental (marginal): each rate applies only to the Gross Profit (CGP) attributable to revenue falling within that band — crossing a threshold does not retroactively change the rate on earlier revenue. If a single engagement spans a threshold, its CGP is apportioned pro-rata between the bands.</w:t>
      </w:r>
    </w:p>
    <w:p>
      <w:pPr>
        <w:pStyle w:val="ListParagraph"/>
        <w:numPr>
          <w:ilvl w:val="0"/>
          <w:numId w:val="3"/>
        </w:numPr>
        <w:spacing w:after="140" w:line="300"/>
      </w:pPr>
      <w:r>
        <w:rPr>
          <w:rFonts w:ascii="Open Sans" w:cs="Open Sans" w:eastAsia="Open Sans" w:hAnsi="Open Sans"/>
          <w:color w:val="1D1D1B"/>
          <w:sz w:val="21"/>
          <w:szCs w:val="21"/>
        </w:rPr>
        <w:t xml:space="preserve">The applicable tier rate(s) for an engagement are fixed at Approved Pricing Worksheet approval, based on Cumulative Named-Account Revenue at that time, and are stated on the worksheet alongside the CGP.</w:t>
      </w:r>
    </w:p>
    <w:p>
      <w:pPr>
        <w:pStyle w:val="ListParagraph"/>
        <w:numPr>
          <w:ilvl w:val="0"/>
          <w:numId w:val="3"/>
        </w:numPr>
        <w:spacing w:after="140" w:line="300"/>
      </w:pPr>
      <w:r>
        <w:rPr>
          <w:rFonts w:ascii="Open Sans" w:cs="Open Sans" w:eastAsia="Open Sans" w:hAnsi="Open Sans"/>
          <w:color w:val="1D1D1B"/>
          <w:sz w:val="21"/>
          <w:szCs w:val="21"/>
        </w:rPr>
        <w:t xml:space="preserve">No commission accrues on any proposal that lacks an Approved Pricing Worksheet. MMG will prepare and approve a pricing worksheet for every proposal before it is sent to the customer.</w:t>
      </w:r>
    </w:p>
    <w:p>
      <w:pPr>
        <w:pStyle w:val="ListParagraph"/>
        <w:numPr>
          <w:ilvl w:val="0"/>
          <w:numId w:val="3"/>
        </w:numPr>
        <w:spacing w:after="140" w:line="300"/>
      </w:pPr>
      <w:r>
        <w:rPr>
          <w:rFonts w:ascii="Open Sans" w:cs="Open Sans" w:eastAsia="Open Sans" w:hAnsi="Open Sans"/>
          <w:color w:val="1D1D1B"/>
          <w:sz w:val="21"/>
          <w:szCs w:val="21"/>
        </w:rPr>
        <w:t xml:space="preserve">Actual project profitability — favorable or unfavorable — has no effect on commissions. Cost overruns, scope creep absorbed without a Change Order, staffing decisions, vendor changes, internal inefficiencies, and write-offs neither reduce nor increase the commission basis.</w:t>
      </w:r>
    </w:p>
    <w:p>
      <w:pPr>
        <w:pStyle w:val="ListParagraph"/>
        <w:numPr>
          <w:ilvl w:val="0"/>
          <w:numId w:val="3"/>
        </w:numPr>
        <w:spacing w:after="140" w:line="300"/>
      </w:pPr>
      <w:r>
        <w:rPr>
          <w:rFonts w:ascii="Open Sans" w:cs="Open Sans" w:eastAsia="Open Sans" w:hAnsi="Open Sans"/>
          <w:color w:val="1D1D1B"/>
          <w:sz w:val="21"/>
          <w:szCs w:val="21"/>
        </w:rPr>
        <w:t xml:space="preserve">Discounts approved by MMG management before proposal approval are reflected in the Approved Contract Value. Post-approval discounts or concessions granted by MMG without a Change Order do not reduce CGP.</w:t>
      </w:r>
    </w:p>
    <w:p>
      <w:pPr>
        <w:spacing w:after="80" w:before="120"/>
      </w:pPr>
      <w:r>
        <w:rPr>
          <w:rFonts w:ascii="Open Sans" w:cs="Open Sans" w:eastAsia="Open Sans" w:hAnsi="Open Sans"/>
          <w:b/>
          <w:bCs/>
          <w:color w:val="1D1D1B"/>
          <w:sz w:val="21"/>
          <w:szCs w:val="21"/>
        </w:rPr>
        <w:t xml:space="preserve">Incremental tier schedule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Tier</w:t>
            </w:r>
          </w:p>
        </w:tc>
        <w:tc>
          <w:tcPr>
            <w:tcW w:type="dxa" w:w="54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Named-Account Revenue (Plan Year)</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Commission Rate (% of Gross Profit)</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First $250,000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$250,000 up to $500,000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30%</w:t>
            </w:r>
          </w:p>
        </w:tc>
      </w:tr>
      <w:tr>
        <w:tc>
          <w:tcPr>
            <w:tcW w:type="dxa" w:w="9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w:t>
            </w:r>
          </w:p>
        </w:tc>
        <w:tc>
          <w:tcPr>
            <w:tcW w:type="dxa" w:w="54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Over $500,000</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35% (cap)</w:t>
            </w:r>
          </w:p>
        </w:tc>
      </w:tr>
    </w:tbl>
    <w:p>
      <w:pPr>
        <w:spacing w:after="80" w:before="200"/>
      </w:pPr>
      <w:r>
        <w:rPr>
          <w:rFonts w:ascii="Open Sans" w:cs="Open Sans" w:eastAsia="Open Sans" w:hAnsi="Open Sans"/>
          <w:color w:val="1D1D1B"/>
          <w:sz w:val="20"/>
          <w:szCs w:val="20"/>
        </w:rPr>
        <w:t xml:space="preserve">Sample payout (illustration only — assumes Gross Profit = 45% of Approved Contract Value in every band; actual Gross Profit per engagement comes from its Approved Pricing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50"/>
        <w:gridCol w:w="1500"/>
        <w:gridCol w:w="800"/>
        <w:gridCol w:w="1300"/>
        <w:gridCol w:w="1200"/>
        <w:gridCol w:w="1110"/>
      </w:tblGrid>
      <w:tr>
        <w:tc>
          <w:tcPr>
            <w:tcW w:type="dxa" w:w="21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Revenue band</w:t>
            </w:r>
          </w:p>
        </w:tc>
        <w:tc>
          <w:tcPr>
            <w:tcW w:type="dxa" w:w="135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Revenue in band</w:t>
            </w:r>
          </w:p>
        </w:tc>
        <w:tc>
          <w:tcPr>
            <w:tcW w:type="dxa" w:w="15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Gross Profit in band (45%)</w:t>
            </w:r>
          </w:p>
        </w:tc>
        <w:tc>
          <w:tcPr>
            <w:tcW w:type="dxa" w:w="8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Rate</w:t>
            </w:r>
          </w:p>
        </w:tc>
        <w:tc>
          <w:tcPr>
            <w:tcW w:type="dxa" w:w="1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Commission in band</w:t>
            </w:r>
          </w:p>
        </w:tc>
        <w:tc>
          <w:tcPr>
            <w:tcW w:type="dxa" w:w="12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Commission as % of Revenue</w:t>
            </w:r>
          </w:p>
        </w:tc>
        <w:tc>
          <w:tcPr>
            <w:tcW w:type="dxa" w:w="111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commission</w:t>
            </w:r>
          </w:p>
        </w:tc>
      </w:tr>
      <w:tr>
        <w:tc>
          <w:tcPr>
            <w:tcW w:type="dxa" w:w="21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$0 – $250,000</w:t>
            </w:r>
          </w:p>
        </w:tc>
        <w:tc>
          <w:tcPr>
            <w:tcW w:type="dxa" w:w="135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w:t>
            </w:r>
          </w:p>
        </w:tc>
        <w:tc>
          <w:tcPr>
            <w:tcW w:type="dxa" w:w="1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$28,125</w:t>
            </w:r>
          </w:p>
        </w:tc>
        <w:tc>
          <w:tcPr>
            <w:tcW w:type="dxa" w:w="12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w:t>
            </w:r>
          </w:p>
        </w:tc>
        <w:tc>
          <w:tcPr>
            <w:tcW w:type="dxa" w:w="111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$28,125</w:t>
            </w:r>
          </w:p>
        </w:tc>
      </w:tr>
      <w:tr>
        <w:tc>
          <w:tcPr>
            <w:tcW w:type="dxa" w:w="21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 – $500,000</w:t>
            </w:r>
          </w:p>
        </w:tc>
        <w:tc>
          <w:tcPr>
            <w:tcW w:type="dxa" w:w="135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30%</w:t>
            </w:r>
          </w:p>
        </w:tc>
        <w:tc>
          <w:tcPr>
            <w:tcW w:type="dxa" w:w="1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$33,750</w:t>
            </w:r>
          </w:p>
        </w:tc>
        <w:tc>
          <w:tcPr>
            <w:tcW w:type="dxa" w:w="12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13.5%</w:t>
            </w:r>
          </w:p>
        </w:tc>
        <w:tc>
          <w:tcPr>
            <w:tcW w:type="dxa" w:w="111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$61,875</w:t>
            </w:r>
          </w:p>
        </w:tc>
      </w:tr>
      <w:tr>
        <w:tc>
          <w:tcPr>
            <w:tcW w:type="dxa" w:w="21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$500,000 – $750,000</w:t>
            </w:r>
          </w:p>
        </w:tc>
        <w:tc>
          <w:tcPr>
            <w:tcW w:type="dxa" w:w="135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$250,000</w:t>
            </w:r>
          </w:p>
        </w:tc>
        <w:tc>
          <w:tcPr>
            <w:tcW w:type="dxa" w:w="15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$112,500</w:t>
            </w:r>
          </w:p>
        </w:tc>
        <w:tc>
          <w:tcPr>
            <w:tcW w:type="dxa" w:w="8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35% (cap)</w:t>
            </w:r>
          </w:p>
        </w:tc>
        <w:tc>
          <w:tcPr>
            <w:tcW w:type="dxa" w:w="1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$39,375</w:t>
            </w:r>
          </w:p>
        </w:tc>
        <w:tc>
          <w:tcPr>
            <w:tcW w:type="dxa" w:w="12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15.75%</w:t>
            </w:r>
          </w:p>
        </w:tc>
        <w:tc>
          <w:tcPr>
            <w:tcW w:type="dxa" w:w="111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$101,250</w:t>
            </w:r>
          </w:p>
        </w:tc>
      </w:tr>
      <w:tr>
        <w:tc>
          <w:tcPr>
            <w:tcW w:type="dxa" w:w="21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$750,000 – $1,000,000</w:t>
            </w:r>
          </w:p>
        </w:tc>
        <w:tc>
          <w:tcPr>
            <w:tcW w:type="dxa" w:w="135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$250,000</w:t>
            </w:r>
          </w:p>
        </w:tc>
        <w:tc>
          <w:tcPr>
            <w:tcW w:type="dxa" w:w="15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$112,500</w:t>
            </w:r>
          </w:p>
        </w:tc>
        <w:tc>
          <w:tcPr>
            <w:tcW w:type="dxa" w:w="8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35% (cap)</w:t>
            </w:r>
          </w:p>
        </w:tc>
        <w:tc>
          <w:tcPr>
            <w:tcW w:type="dxa" w:w="1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$39,375</w:t>
            </w:r>
          </w:p>
        </w:tc>
        <w:tc>
          <w:tcPr>
            <w:tcW w:type="dxa" w:w="12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15.75%</w:t>
            </w:r>
          </w:p>
        </w:tc>
        <w:tc>
          <w:tcPr>
            <w:tcW w:type="dxa" w:w="111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$140,625</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Earning, Payment, and Adjustments</w:t>
      </w:r>
    </w:p>
    <w:p>
      <w:pPr>
        <w:pStyle w:val="ListParagraph"/>
        <w:numPr>
          <w:ilvl w:val="0"/>
          <w:numId w:val="4"/>
        </w:numPr>
        <w:spacing w:after="140" w:line="300"/>
      </w:pPr>
      <w:r>
        <w:rPr>
          <w:rFonts w:ascii="Open Sans" w:cs="Open Sans" w:eastAsia="Open Sans" w:hAnsi="Open Sans"/>
          <w:b/>
          <w:bCs/>
          <w:color w:val="1D1D1B"/>
          <w:sz w:val="21"/>
          <w:szCs w:val="21"/>
        </w:rPr>
        <w:t xml:space="preserve">When earned. </w:t>
      </w:r>
      <w:r>
        <w:rPr>
          <w:rFonts w:ascii="Open Sans" w:cs="Open Sans" w:eastAsia="Open Sans" w:hAnsi="Open Sans"/>
          <w:color w:val="1D1D1B"/>
          <w:sz w:val="21"/>
          <w:szCs w:val="21"/>
        </w:rPr>
        <w:t xml:space="preserve">Commission on an engagement is earned proportionally as Net Customer Payments are received by MMG, in the ratio that each Net Customer Payment bears to the Approved Contract Value.</w:t>
      </w:r>
    </w:p>
    <w:p>
      <w:pPr>
        <w:pStyle w:val="ListParagraph"/>
        <w:numPr>
          <w:ilvl w:val="0"/>
          <w:numId w:val="4"/>
        </w:numPr>
        <w:spacing w:after="140" w:line="300"/>
      </w:pPr>
      <w:r>
        <w:rPr>
          <w:rFonts w:ascii="Open Sans" w:cs="Open Sans" w:eastAsia="Open Sans" w:hAnsi="Open Sans"/>
          <w:b/>
          <w:bCs/>
          <w:color w:val="1D1D1B"/>
          <w:sz w:val="21"/>
          <w:szCs w:val="21"/>
        </w:rPr>
        <w:t xml:space="preserve">When paid. </w:t>
      </w:r>
      <w:r>
        <w:rPr>
          <w:rFonts w:ascii="Open Sans" w:cs="Open Sans" w:eastAsia="Open Sans" w:hAnsi="Open Sans"/>
          <w:color w:val="1D1D1B"/>
          <w:sz w:val="21"/>
          <w:szCs w:val="21"/>
        </w:rPr>
        <w:t xml:space="preserve">Earned commissions are paid no later than the last day of the calendar month following the month in which the corresponding Net Customer Payment is received.</w:t>
      </w:r>
    </w:p>
    <w:p>
      <w:pPr>
        <w:pStyle w:val="ListParagraph"/>
        <w:numPr>
          <w:ilvl w:val="0"/>
          <w:numId w:val="4"/>
        </w:numPr>
        <w:spacing w:after="140" w:line="300"/>
      </w:pPr>
      <w:r>
        <w:rPr>
          <w:rFonts w:ascii="Open Sans" w:cs="Open Sans" w:eastAsia="Open Sans" w:hAnsi="Open Sans"/>
          <w:b/>
          <w:bCs/>
          <w:color w:val="1D1D1B"/>
          <w:sz w:val="21"/>
          <w:szCs w:val="21"/>
        </w:rPr>
        <w:t xml:space="preserve">Non-payment by customer. </w:t>
      </w:r>
      <w:r>
        <w:rPr>
          <w:rFonts w:ascii="Open Sans" w:cs="Open Sans" w:eastAsia="Open Sans" w:hAnsi="Open Sans"/>
          <w:color w:val="1D1D1B"/>
          <w:sz w:val="21"/>
          <w:szCs w:val="21"/>
        </w:rPr>
        <w:t xml:space="preserve">If a customer fails to pay, commission is due only on amounts actually received. Commissions previously advanced on amounts later refunded or charged back will be offset against future commission payments.</w:t>
      </w:r>
    </w:p>
    <w:p>
      <w:pPr>
        <w:pStyle w:val="ListParagraph"/>
        <w:numPr>
          <w:ilvl w:val="0"/>
          <w:numId w:val="4"/>
        </w:numPr>
        <w:spacing w:after="140" w:line="300"/>
      </w:pPr>
      <w:r>
        <w:rPr>
          <w:rFonts w:ascii="Open Sans" w:cs="Open Sans" w:eastAsia="Open Sans" w:hAnsi="Open Sans"/>
          <w:b/>
          <w:bCs/>
          <w:color w:val="1D1D1B"/>
          <w:sz w:val="21"/>
          <w:szCs w:val="21"/>
        </w:rPr>
        <w:t xml:space="preserve">Change Orders. </w:t>
      </w:r>
      <w:r>
        <w:rPr>
          <w:rFonts w:ascii="Open Sans" w:cs="Open Sans" w:eastAsia="Open Sans" w:hAnsi="Open Sans"/>
          <w:color w:val="1D1D1B"/>
          <w:sz w:val="21"/>
          <w:szCs w:val="21"/>
        </w:rPr>
        <w:t xml:space="preserve">If a Change Order increases or decreases the Approved Contract Value, the CGP is recalculated per the revised Approved Pricing Worksheet and applied prospectively.</w:t>
      </w:r>
    </w:p>
    <w:p>
      <w:pPr>
        <w:pStyle w:val="ListParagraph"/>
        <w:numPr>
          <w:ilvl w:val="0"/>
          <w:numId w:val="4"/>
        </w:numPr>
        <w:spacing w:after="140" w:line="300"/>
      </w:pPr>
      <w:r>
        <w:rPr>
          <w:rFonts w:ascii="Open Sans" w:cs="Open Sans" w:eastAsia="Open Sans" w:hAnsi="Open Sans"/>
          <w:b/>
          <w:bCs/>
          <w:color w:val="1D1D1B"/>
          <w:sz w:val="21"/>
          <w:szCs w:val="21"/>
        </w:rPr>
        <w:t xml:space="preserve">Splits. </w:t>
      </w:r>
      <w:r>
        <w:rPr>
          <w:rFonts w:ascii="Open Sans" w:cs="Open Sans" w:eastAsia="Open Sans" w:hAnsi="Open Sans"/>
          <w:color w:val="1D1D1B"/>
          <w:sz w:val="21"/>
          <w:szCs w:val="21"/>
        </w:rPr>
        <w:t xml:space="preserve">Any commission splits between representatives on a Named and Approved Account will be documented in a written schedule approved by MMG management before proposal approval.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Termination</w:t>
      </w:r>
    </w:p>
    <w:p>
      <w:pPr>
        <w:pStyle w:val="ListParagraph"/>
        <w:numPr>
          <w:ilvl w:val="0"/>
          <w:numId w:val="5"/>
        </w:numPr>
        <w:spacing w:after="140" w:line="300"/>
      </w:pPr>
      <w:r>
        <w:rPr>
          <w:rFonts w:ascii="Open Sans" w:cs="Open Sans" w:eastAsia="Open Sans" w:hAnsi="Open Sans"/>
          <w:color w:val="1D1D1B"/>
          <w:sz w:val="21"/>
          <w:szCs w:val="21"/>
        </w:rPr>
        <w:t xml:space="preserve">Either Party may terminate this Agreement at any time, with or without cause, upon written notice.</w:t>
      </w:r>
    </w:p>
    <w:p>
      <w:pPr>
        <w:pStyle w:val="ListParagraph"/>
        <w:numPr>
          <w:ilvl w:val="0"/>
          <w:numId w:val="5"/>
        </w:numPr>
        <w:spacing w:after="140" w:line="300"/>
      </w:pPr>
      <w:r>
        <w:rPr>
          <w:rFonts w:ascii="Open Sans" w:cs="Open Sans" w:eastAsia="Open Sans" w:hAnsi="Open Sans"/>
          <w:color w:val="1D1D1B"/>
          <w:sz w:val="21"/>
          <w:szCs w:val="21"/>
        </w:rPr>
        <w:t xml:space="preserve">Following termination, the Sales Representative remains entitled to commissions on engagements with an Approved Pricing Worksheet dated before the termination date, to the extent Net Customer Payments on those engagements are received by MMG within ninety (90) days after the termination date. No commissions are due on payments received after that period or on engagements approved after the termination date.</w:t>
      </w:r>
    </w:p>
    <w:p>
      <w:pPr>
        <w:pStyle w:val="ListParagraph"/>
        <w:numPr>
          <w:ilvl w:val="0"/>
          <w:numId w:val="5"/>
        </w:numPr>
        <w:spacing w:after="140" w:line="300"/>
      </w:pPr>
      <w:r>
        <w:rPr>
          <w:rFonts w:ascii="Open Sans" w:cs="Open Sans" w:eastAsia="Open Sans" w:hAnsi="Open Sans"/>
          <w:color w:val="1D1D1B"/>
          <w:sz w:val="21"/>
          <w:szCs w:val="21"/>
        </w:rPr>
        <w:t xml:space="preserve">Nothing in this Agreement modifies the at-will nature of any employment relationship or creates an obligation of continued engagement.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Records and Dispute Resolution</w:t>
      </w:r>
    </w:p>
    <w:p>
      <w:pPr>
        <w:pStyle w:val="ListParagraph"/>
        <w:numPr>
          <w:ilvl w:val="0"/>
          <w:numId w:val="6"/>
        </w:numPr>
        <w:spacing w:after="140" w:line="300"/>
      </w:pPr>
      <w:r>
        <w:rPr>
          <w:rFonts w:ascii="Open Sans" w:cs="Open Sans" w:eastAsia="Open Sans" w:hAnsi="Open Sans"/>
          <w:color w:val="1D1D1B"/>
          <w:sz w:val="21"/>
          <w:szCs w:val="21"/>
        </w:rPr>
        <w:t xml:space="preserve">The Approved Pricing Worksheet is the conclusive record of the commission basis for each engagement. MMG will provide the Sales Representative a copy of each Approved Pricing Worksheet (or the CGP figure derived from it) at or before proposal approval.</w:t>
      </w:r>
    </w:p>
    <w:p>
      <w:pPr>
        <w:pStyle w:val="ListParagraph"/>
        <w:numPr>
          <w:ilvl w:val="0"/>
          <w:numId w:val="6"/>
        </w:numPr>
        <w:spacing w:after="140" w:line="300"/>
      </w:pPr>
      <w:r>
        <w:rPr>
          <w:rFonts w:ascii="Open Sans" w:cs="Open Sans" w:eastAsia="Open Sans" w:hAnsi="Open Sans"/>
          <w:color w:val="1D1D1B"/>
          <w:sz w:val="21"/>
          <w:szCs w:val="21"/>
        </w:rPr>
        <w:t xml:space="preserve">Commission statements will accompany each commission payment. The Sales Representative must raise any dispute in writing within sixty (60) days of the statement date; statements not disputed within that period are deemed accepted.</w:t>
      </w:r>
    </w:p>
    <w:p>
      <w:pPr>
        <w:pStyle w:val="ListParagraph"/>
        <w:numPr>
          <w:ilvl w:val="0"/>
          <w:numId w:val="6"/>
        </w:numPr>
        <w:spacing w:after="140" w:line="300"/>
      </w:pPr>
      <w:r>
        <w:rPr>
          <w:rFonts w:ascii="Open Sans" w:cs="Open Sans" w:eastAsia="Open Sans" w:hAnsi="Open Sans"/>
          <w:color w:val="1D1D1B"/>
          <w:sz w:val="21"/>
          <w:szCs w:val="21"/>
        </w:rPr>
        <w:t xml:space="preserve">The Parties will first attempt in good faith to resolve any dispute through direct negotiation between the Sales Representative and MMG’s CEO or designee.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8. Confidentiality</w:t>
      </w:r>
    </w:p>
    <w:p>
      <w:pPr>
        <w:spacing w:after="160" w:line="300"/>
      </w:pPr>
      <w:r>
        <w:rPr>
          <w:rFonts w:ascii="Open Sans" w:cs="Open Sans" w:eastAsia="Open Sans" w:hAnsi="Open Sans"/>
          <w:color w:val="1D1D1B"/>
          <w:sz w:val="21"/>
          <w:szCs w:val="21"/>
        </w:rPr>
        <w:t xml:space="preserve">The Sales Representative shall keep confidential all non-public MMG information, including pricing worksheets, cost structures, commission terms, customer lists, and deal terms, both during and after the term of this Agreement, and shall use such information solely to perform under this Agreement.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9. General Provisions</w:t>
      </w:r>
    </w:p>
    <w:p>
      <w:pPr>
        <w:pStyle w:val="ListParagraph"/>
        <w:numPr>
          <w:ilvl w:val="0"/>
          <w:numId w:val="7"/>
        </w:numPr>
        <w:spacing w:after="140" w:line="300"/>
      </w:pPr>
      <w:r>
        <w:rPr>
          <w:rFonts w:ascii="Open Sans" w:cs="Open Sans" w:eastAsia="Open Sans" w:hAnsi="Open Sans"/>
          <w:b/>
          <w:bCs/>
          <w:color w:val="1D1D1B"/>
          <w:sz w:val="21"/>
          <w:szCs w:val="21"/>
        </w:rPr>
        <w:t xml:space="preserve">Governing law. </w:t>
      </w:r>
      <w:r>
        <w:rPr>
          <w:rFonts w:ascii="Open Sans" w:cs="Open Sans" w:eastAsia="Open Sans" w:hAnsi="Open Sans"/>
          <w:color w:val="1D1D1B"/>
          <w:sz w:val="21"/>
          <w:szCs w:val="21"/>
        </w:rPr>
        <w:t xml:space="preserve">This Agreement is governed by the laws of the State of Arizona, without regard to conflict-of-laws principles. Venue for any action lies in the state or federal courts located in Maricopa County, Arizona.</w:t>
      </w:r>
    </w:p>
    <w:p>
      <w:pPr>
        <w:pStyle w:val="ListParagraph"/>
        <w:numPr>
          <w:ilvl w:val="0"/>
          <w:numId w:val="7"/>
        </w:numPr>
        <w:spacing w:after="140" w:line="300"/>
      </w:pPr>
      <w:r>
        <w:rPr>
          <w:rFonts w:ascii="Open Sans" w:cs="Open Sans" w:eastAsia="Open Sans" w:hAnsi="Open Sans"/>
          <w:b/>
          <w:bCs/>
          <w:color w:val="1D1D1B"/>
          <w:sz w:val="21"/>
          <w:szCs w:val="21"/>
        </w:rPr>
        <w:t xml:space="preserve">Entire agreement. </w:t>
      </w:r>
      <w:r>
        <w:rPr>
          <w:rFonts w:ascii="Open Sans" w:cs="Open Sans" w:eastAsia="Open Sans" w:hAnsi="Open Sans"/>
          <w:color w:val="1D1D1B"/>
          <w:sz w:val="21"/>
          <w:szCs w:val="21"/>
        </w:rPr>
        <w:t xml:space="preserve">This Agreement, together with any written schedules and Approved Pricing Worksheets referenced herein, is the entire agreement of the Parties regarding sales commissions and supersedes all prior oral or written commission arrangements.</w:t>
      </w:r>
    </w:p>
    <w:p>
      <w:pPr>
        <w:pStyle w:val="ListParagraph"/>
        <w:numPr>
          <w:ilvl w:val="0"/>
          <w:numId w:val="7"/>
        </w:numPr>
        <w:spacing w:after="140" w:line="300"/>
      </w:pPr>
      <w:r>
        <w:rPr>
          <w:rFonts w:ascii="Open Sans" w:cs="Open Sans" w:eastAsia="Open Sans" w:hAnsi="Open Sans"/>
          <w:b/>
          <w:bCs/>
          <w:color w:val="1D1D1B"/>
          <w:sz w:val="21"/>
          <w:szCs w:val="21"/>
        </w:rPr>
        <w:t xml:space="preserve">Amendment. </w:t>
      </w:r>
      <w:r>
        <w:rPr>
          <w:rFonts w:ascii="Open Sans" w:cs="Open Sans" w:eastAsia="Open Sans" w:hAnsi="Open Sans"/>
          <w:color w:val="1D1D1B"/>
          <w:sz w:val="21"/>
          <w:szCs w:val="21"/>
        </w:rPr>
        <w:t xml:space="preserve">This Agreement may be amended only in a writing signed by both Parties. MMG may amend the Commission Rate prospectively for future engagements upon thirty (30) days’ written notice.</w:t>
      </w:r>
    </w:p>
    <w:p>
      <w:pPr>
        <w:pStyle w:val="ListParagraph"/>
        <w:numPr>
          <w:ilvl w:val="0"/>
          <w:numId w:val="7"/>
        </w:numPr>
        <w:spacing w:after="140" w:line="300"/>
      </w:pPr>
      <w:r>
        <w:rPr>
          <w:rFonts w:ascii="Open Sans" w:cs="Open Sans" w:eastAsia="Open Sans" w:hAnsi="Open Sans"/>
          <w:b/>
          <w:bCs/>
          <w:color w:val="1D1D1B"/>
          <w:sz w:val="21"/>
          <w:szCs w:val="21"/>
        </w:rPr>
        <w:t xml:space="preserve">Severability; waiver. </w:t>
      </w:r>
      <w:r>
        <w:rPr>
          <w:rFonts w:ascii="Open Sans" w:cs="Open Sans" w:eastAsia="Open Sans" w:hAnsi="Open Sans"/>
          <w:color w:val="1D1D1B"/>
          <w:sz w:val="21"/>
          <w:szCs w:val="21"/>
        </w:rPr>
        <w:t xml:space="preserve">If any provision is held unenforceable, the remainder stays in effect. No waiver of any breach waives any other breach.</w:t>
      </w:r>
    </w:p>
    <w:p>
      <w:pPr>
        <w:pStyle w:val="ListParagraph"/>
        <w:numPr>
          <w:ilvl w:val="0"/>
          <w:numId w:val="7"/>
        </w:numPr>
        <w:spacing w:after="140" w:line="300"/>
      </w:pPr>
      <w:r>
        <w:rPr>
          <w:rFonts w:ascii="Open Sans" w:cs="Open Sans" w:eastAsia="Open Sans" w:hAnsi="Open Sans"/>
          <w:b/>
          <w:bCs/>
          <w:color w:val="1D1D1B"/>
          <w:sz w:val="21"/>
          <w:szCs w:val="21"/>
        </w:rPr>
        <w:t xml:space="preserve">No assignment. </w:t>
      </w:r>
      <w:r>
        <w:rPr>
          <w:rFonts w:ascii="Open Sans" w:cs="Open Sans" w:eastAsia="Open Sans" w:hAnsi="Open Sans"/>
          <w:color w:val="1D1D1B"/>
          <w:sz w:val="21"/>
          <w:szCs w:val="21"/>
        </w:rPr>
        <w:t xml:space="preserve">The Sales Representative may not assign this Agreement or any right to commissions without MMG’s prior written consent.</w:t>
      </w:r>
    </w:p>
    <w:p>
      <w:pPr>
        <w:pStyle w:val="ListParagraph"/>
        <w:numPr>
          <w:ilvl w:val="0"/>
          <w:numId w:val="7"/>
        </w:numPr>
        <w:spacing w:after="140" w:line="300"/>
      </w:pPr>
      <w:r>
        <w:rPr>
          <w:rFonts w:ascii="Open Sans" w:cs="Open Sans" w:eastAsia="Open Sans" w:hAnsi="Open Sans"/>
          <w:b/>
          <w:bCs/>
          <w:color w:val="1D1D1B"/>
          <w:sz w:val="21"/>
          <w:szCs w:val="21"/>
        </w:rPr>
        <w:t xml:space="preserve">Counterparts; electronic signature. </w:t>
      </w:r>
      <w:r>
        <w:rPr>
          <w:rFonts w:ascii="Open Sans" w:cs="Open Sans" w:eastAsia="Open Sans" w:hAnsi="Open Sans"/>
          <w:color w:val="1D1D1B"/>
          <w:sz w:val="21"/>
          <w:szCs w:val="21"/>
        </w:rPr>
        <w:t xml:space="preserve">This Agreement may be executed in counterparts and by electronic signature, each of which is deemed an original.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Proposal / SOW reference &amp;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MMG employee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approved subcontractor / freelancer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(total)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Commissionable Gross Profit (CGP)</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Cumulative Named-Account Revenue before this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tier rate(s) per Section 4.2</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Management approval (name /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 MMG may amend this list in writing at its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 (whole account / division / opportunity)</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 — Jeff Gibbs</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Jeff Gibbs · Title: CRO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abstractNum w:abstractNumId="7"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42f310a9b71e7d5ee2c1038245a875a0e62dd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2026-08-04T20:12:59.100Z</dcterms:created>
  <dcterms:modified xsi:type="dcterms:W3CDTF">2026-08-04T20:12:59.100Z</dcterms:modified>
</cp:coreProperties>
</file>

<file path=docProps/custom.xml><?xml version="1.0" encoding="utf-8"?>
<Properties xmlns="http://schemas.openxmlformats.org/officeDocument/2006/custom-properties" xmlns:vt="http://schemas.openxmlformats.org/officeDocument/2006/docPropsVTypes"/>
</file>