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F97A9" w:val="clear"/>
        <w:spacing w:after="240"/>
      </w:pPr>
      <w:r>
        <w:rPr>
          <w:sz w:val="8"/>
          <w:szCs w:val="8"/>
        </w:rPr>
        <w:t xml:space="preserve"> </w:t>
      </w:r>
    </w:p>
    <w:p>
      <w:pPr>
        <w:spacing w:after="60"/>
      </w:pPr>
      <w:r>
        <w:drawing>
          <wp:inline distT="0" distB="0" distL="0" distR="0">
            <wp:extent cx="22479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47900" cy="628650"/>
                    </a:xfrm>
                    <a:prstGeom prst="rect">
                      <a:avLst/>
                    </a:prstGeom>
                  </pic:spPr>
                </pic:pic>
              </a:graphicData>
            </a:graphic>
          </wp:inline>
        </w:drawing>
      </w:r>
    </w:p>
    <w:p>
      <w:pPr>
        <w:spacing w:after="60"/>
      </w:pPr>
      <w:r>
        <w:rPr>
          <w:rFonts w:ascii="Open Sans" w:cs="Open Sans" w:eastAsia="Open Sans" w:hAnsi="Open Sans"/>
          <w:color w:val="1D1D1B"/>
          <w:sz w:val="17"/>
          <w:szCs w:val="17"/>
        </w:rPr>
        <w:t xml:space="preserve">MMG Global LLC — WBENC Certified Women-Owned</w:t>
      </w:r>
    </w:p>
    <w:p>
      <w:pPr>
        <w:pBdr>
          <w:bottom w:val="single" w:color="1D1D1B" w:sz="18" w:space="4"/>
        </w:pBdr>
        <w:spacing w:after="280"/>
      </w:pPr>
      <w:r>
        <w:rPr>
          <w:rFonts w:ascii="Open Sans" w:cs="Open Sans" w:eastAsia="Open Sans" w:hAnsi="Open Sans"/>
          <w:b/>
          <w:bCs/>
          <w:color w:val="1D1D1B"/>
          <w:sz w:val="18"/>
          <w:szCs w:val="18"/>
        </w:rPr>
        <w:t xml:space="preserve">SALES COMMISSION AGREEMENT — HP Consumer Only · Jeff Gibbs · Confidential</w:t>
      </w:r>
    </w:p>
    <w:p>
      <w:pPr>
        <w:spacing w:after="100"/>
      </w:pPr>
      <w:r>
        <w:rPr>
          <w:rFonts w:ascii="Source Serif Pro" w:cs="Source Serif Pro" w:eastAsia="Source Serif Pro" w:hAnsi="Source Serif Pro"/>
          <w:b/>
          <w:bCs/>
          <w:color w:val="1D1D1B"/>
          <w:sz w:val="36"/>
          <w:szCs w:val="36"/>
        </w:rPr>
        <w:t xml:space="preserve">Sales Commission Agreement — HP Consumer Business Only, Sep–Dec 2026</w:t>
      </w:r>
    </w:p>
    <w:p>
      <w:pPr>
        <w:spacing w:after="160" w:line="300"/>
      </w:pPr>
      <w:r>
        <w:rPr>
          <w:rFonts w:ascii="Open Sans" w:cs="Open Sans" w:eastAsia="Open Sans" w:hAnsi="Open Sans"/>
          <w:color w:val="1D1D1B"/>
          <w:sz w:val="21"/>
          <w:szCs w:val="21"/>
        </w:rPr>
        <w:t xml:space="preserve">This Sales Commission Agreement (this “</w:t>
      </w:r>
      <w:r>
        <w:rPr>
          <w:rFonts w:ascii="Open Sans" w:cs="Open Sans" w:eastAsia="Open Sans" w:hAnsi="Open Sans"/>
          <w:b/>
          <w:bCs/>
          <w:color w:val="1D1D1B"/>
          <w:sz w:val="21"/>
          <w:szCs w:val="21"/>
        </w:rPr>
        <w:t xml:space="preserve">Agreement</w:t>
      </w:r>
      <w:r>
        <w:rPr>
          <w:rFonts w:ascii="Open Sans" w:cs="Open Sans" w:eastAsia="Open Sans" w:hAnsi="Open Sans"/>
          <w:color w:val="1D1D1B"/>
          <w:sz w:val="21"/>
          <w:szCs w:val="21"/>
        </w:rPr>
        <w:t xml:space="preserve">”) is entered into as of ____________________ (the “</w:t>
      </w:r>
      <w:r>
        <w:rPr>
          <w:rFonts w:ascii="Open Sans" w:cs="Open Sans" w:eastAsia="Open Sans" w:hAnsi="Open Sans"/>
          <w:b/>
          <w:bCs/>
          <w:color w:val="1D1D1B"/>
          <w:sz w:val="21"/>
          <w:szCs w:val="21"/>
        </w:rPr>
        <w:t xml:space="preserve">Effective Date</w:t>
      </w:r>
      <w:r>
        <w:rPr>
          <w:rFonts w:ascii="Open Sans" w:cs="Open Sans" w:eastAsia="Open Sans" w:hAnsi="Open Sans"/>
          <w:color w:val="1D1D1B"/>
          <w:sz w:val="21"/>
          <w:szCs w:val="21"/>
        </w:rPr>
        <w:t xml:space="preserve">”), by and between </w:t>
      </w:r>
      <w:r>
        <w:rPr>
          <w:rFonts w:ascii="Open Sans" w:cs="Open Sans" w:eastAsia="Open Sans" w:hAnsi="Open Sans"/>
          <w:b/>
          <w:bCs/>
          <w:color w:val="1D1D1B"/>
          <w:sz w:val="21"/>
          <w:szCs w:val="21"/>
        </w:rPr>
        <w:t xml:space="preserve">MMG Global LLC</w:t>
      </w:r>
      <w:r>
        <w:rPr>
          <w:rFonts w:ascii="Open Sans" w:cs="Open Sans" w:eastAsia="Open Sans" w:hAnsi="Open Sans"/>
          <w:color w:val="1D1D1B"/>
          <w:sz w:val="21"/>
          <w:szCs w:val="21"/>
        </w:rPr>
        <w:t xml:space="preserve">, an Arizona limited liability company d/b/a The Motivated Mind Group, with its principal place of business at 260 S Arizona Ave, Chandler, AZ 85225 (“</w:t>
      </w:r>
      <w:r>
        <w:rPr>
          <w:rFonts w:ascii="Open Sans" w:cs="Open Sans" w:eastAsia="Open Sans" w:hAnsi="Open Sans"/>
          <w:b/>
          <w:bCs/>
          <w:color w:val="1D1D1B"/>
          <w:sz w:val="21"/>
          <w:szCs w:val="21"/>
        </w:rPr>
        <w:t xml:space="preserve">MMG</w:t>
      </w:r>
      <w:r>
        <w:rPr>
          <w:rFonts w:ascii="Open Sans" w:cs="Open Sans" w:eastAsia="Open Sans" w:hAnsi="Open Sans"/>
          <w:color w:val="1D1D1B"/>
          <w:sz w:val="21"/>
          <w:szCs w:val="21"/>
        </w:rPr>
        <w:t xml:space="preserve">”), and </w:t>
      </w:r>
      <w:r>
        <w:rPr>
          <w:rFonts w:ascii="Open Sans" w:cs="Open Sans" w:eastAsia="Open Sans" w:hAnsi="Open Sans"/>
          <w:b/>
          <w:bCs/>
          <w:color w:val="1D1D1B"/>
          <w:sz w:val="21"/>
          <w:szCs w:val="21"/>
        </w:rPr>
        <w:t xml:space="preserve">Jeff Gibbs</w:t>
      </w:r>
      <w:r>
        <w:rPr>
          <w:rFonts w:ascii="Open Sans" w:cs="Open Sans" w:eastAsia="Open Sans" w:hAnsi="Open Sans"/>
          <w:color w:val="1D1D1B"/>
          <w:sz w:val="21"/>
          <w:szCs w:val="21"/>
        </w:rPr>
        <w:t xml:space="preserve"> (the “</w:t>
      </w:r>
      <w:r>
        <w:rPr>
          <w:rFonts w:ascii="Open Sans" w:cs="Open Sans" w:eastAsia="Open Sans" w:hAnsi="Open Sans"/>
          <w:b/>
          <w:bCs/>
          <w:color w:val="1D1D1B"/>
          <w:sz w:val="21"/>
          <w:szCs w:val="21"/>
        </w:rPr>
        <w:t xml:space="preserve">Sales Representative</w:t>
      </w:r>
      <w:r>
        <w:rPr>
          <w:rFonts w:ascii="Open Sans" w:cs="Open Sans" w:eastAsia="Open Sans" w:hAnsi="Open Sans"/>
          <w:color w:val="1D1D1B"/>
          <w:sz w:val="21"/>
          <w:szCs w:val="21"/>
        </w:rPr>
        <w:t xml:space="preserve">”), engaged by MMG on a part-time, secondary-role basis for the sole purpose described below. MMG and the Sales Representative are each a “</w:t>
      </w:r>
      <w:r>
        <w:rPr>
          <w:rFonts w:ascii="Open Sans" w:cs="Open Sans" w:eastAsia="Open Sans" w:hAnsi="Open Sans"/>
          <w:b/>
          <w:bCs/>
          <w:color w:val="1D1D1B"/>
          <w:sz w:val="21"/>
          <w:szCs w:val="21"/>
        </w:rPr>
        <w:t xml:space="preserve">Party</w:t>
      </w:r>
      <w:r>
        <w:rPr>
          <w:rFonts w:ascii="Open Sans" w:cs="Open Sans" w:eastAsia="Open Sans" w:hAnsi="Open Sans"/>
          <w:color w:val="1D1D1B"/>
          <w:sz w:val="21"/>
          <w:szCs w:val="21"/>
        </w:rPr>
        <w:t xml:space="preserve">” and together the “</w:t>
      </w:r>
      <w:r>
        <w:rPr>
          <w:rFonts w:ascii="Open Sans" w:cs="Open Sans" w:eastAsia="Open Sans" w:hAnsi="Open Sans"/>
          <w:b/>
          <w:bCs/>
          <w:color w:val="1D1D1B"/>
          <w:sz w:val="21"/>
          <w:szCs w:val="21"/>
        </w:rPr>
        <w:t xml:space="preserve">Parties</w:t>
      </w:r>
      <w:r>
        <w:rPr>
          <w:rFonts w:ascii="Open Sans" w:cs="Open Sans" w:eastAsia="Open Sans" w:hAnsi="Open Sans"/>
          <w:color w:val="1D1D1B"/>
          <w:sz w:val="21"/>
          <w:szCs w:val="21"/>
        </w:rPr>
        <w:t xml:space="preserve">.”</w:t>
      </w:r>
    </w:p>
    <w:p>
      <w:pPr>
        <w:pBdr>
          <w:left w:val="single" w:color="FF97A9" w:sz="24" w:space="4"/>
        </w:pBdr>
        <w:shd w:fill="FFF0F3" w:val="clear"/>
        <w:spacing w:after="200" w:before="120" w:line="300"/>
        <w:ind w:left="200" w:right="200"/>
      </w:pPr>
      <w:r>
        <w:rPr>
          <w:rFonts w:ascii="Open Sans" w:cs="Open Sans" w:eastAsia="Open Sans" w:hAnsi="Open Sans"/>
          <w:b/>
          <w:bCs/>
          <w:color w:val="1D1D1B"/>
          <w:sz w:val="20"/>
          <w:szCs w:val="20"/>
        </w:rPr>
        <w:t xml:space="preserve">Plain-language summary (not a substitute for the terms below): </w:t>
      </w:r>
      <w:r>
        <w:rPr>
          <w:rFonts w:ascii="Open Sans" w:cs="Open Sans" w:eastAsia="Open Sans" w:hAnsi="Open Sans"/>
          <w:color w:val="1D1D1B"/>
          <w:sz w:val="20"/>
          <w:szCs w:val="20"/>
        </w:rPr>
        <w:t xml:space="preserve">This Agreement covers only HP Consumer business through Alex Botham (and related referral video work) — no other account, September 1 through December 31, 2026. Commission is 15% of revenue, but every deal still needs Bill’s written approval of the rate and margin before it goes to the customer; Bill may approve a lower rate on a deal if needed to protect margin. MMG will pay a $100/month cell phone allowance but not an internet bill or a standing expense account — all other travel, entertainment, and client-facing expenses need pre-approval. MMG’s IP and confidential information stay protected, with disclosure allowed only if Bill authorizes it in writing. There is no non-compete or non-solicitation restriction in this Agreement.</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1. Definitions</w:t>
      </w:r>
    </w:p>
    <w:p>
      <w:pPr>
        <w:pStyle w:val="ListParagraph"/>
        <w:numPr>
          <w:ilvl w:val="0"/>
          <w:numId w:val="2"/>
        </w:numPr>
        <w:spacing w:after="140" w:line="300"/>
      </w:pPr>
      <w:r>
        <w:rPr>
          <w:rFonts w:ascii="Open Sans" w:cs="Open Sans" w:eastAsia="Open Sans" w:hAnsi="Open Sans"/>
          <w:b/>
          <w:bCs/>
          <w:color w:val="1D1D1B"/>
          <w:sz w:val="21"/>
          <w:szCs w:val="21"/>
        </w:rPr>
        <w:t xml:space="preserve">“HP Consumer Business” </w:t>
      </w:r>
      <w:r>
        <w:rPr>
          <w:rFonts w:ascii="Open Sans" w:cs="Open Sans" w:eastAsia="Open Sans" w:hAnsi="Open Sans"/>
          <w:color w:val="1D1D1B"/>
          <w:sz w:val="21"/>
          <w:szCs w:val="21"/>
        </w:rPr>
        <w:t xml:space="preserve">means the HP Consumer account relationship managed through Alex Botham, including the currently scoped work of approximately $23,025 per month, and any new scopes for that relationship approved in writing under Section 2 below. It also includes referral video business generated through Alex Botham’s team (including, without limitation, work referred via Gwen Mahoney and/or Ellen Phung) on the same commission terms. </w:t>
      </w:r>
      <w:r>
        <w:rPr>
          <w:rFonts w:ascii="Open Sans" w:cs="Open Sans" w:eastAsia="Open Sans" w:hAnsi="Open Sans"/>
          <w:b/>
          <w:bCs/>
          <w:color w:val="1D1D1B"/>
          <w:sz w:val="21"/>
          <w:szCs w:val="21"/>
        </w:rPr>
        <w:t xml:space="preserve">No other MMG account or business is covered by this Agreement.</w:t>
      </w:r>
    </w:p>
    <w:p>
      <w:pPr>
        <w:pStyle w:val="ListParagraph"/>
        <w:numPr>
          <w:ilvl w:val="0"/>
          <w:numId w:val="2"/>
        </w:numPr>
        <w:spacing w:after="140" w:line="300"/>
      </w:pPr>
      <w:r>
        <w:rPr>
          <w:rFonts w:ascii="Open Sans" w:cs="Open Sans" w:eastAsia="Open Sans" w:hAnsi="Open Sans"/>
          <w:b/>
          <w:bCs/>
          <w:color w:val="1D1D1B"/>
          <w:sz w:val="21"/>
          <w:szCs w:val="21"/>
        </w:rPr>
        <w:t xml:space="preserve">“Approved Contract Value” </w:t>
      </w:r>
      <w:r>
        <w:rPr>
          <w:rFonts w:ascii="Open Sans" w:cs="Open Sans" w:eastAsia="Open Sans" w:hAnsi="Open Sans"/>
          <w:color w:val="1D1D1B"/>
          <w:sz w:val="21"/>
          <w:szCs w:val="21"/>
        </w:rPr>
        <w:t xml:space="preserve">(or </w:t>
      </w:r>
      <w:r>
        <w:rPr>
          <w:rFonts w:ascii="Open Sans" w:cs="Open Sans" w:eastAsia="Open Sans" w:hAnsi="Open Sans"/>
          <w:b/>
          <w:bCs/>
          <w:color w:val="1D1D1B"/>
          <w:sz w:val="21"/>
          <w:szCs w:val="21"/>
        </w:rPr>
        <w:t xml:space="preserve">“Revenue”</w:t>
      </w:r>
      <w:r>
        <w:rPr>
          <w:rFonts w:ascii="Open Sans" w:cs="Open Sans" w:eastAsia="Open Sans" w:hAnsi="Open Sans"/>
          <w:color w:val="1D1D1B"/>
          <w:sz w:val="21"/>
          <w:szCs w:val="21"/>
        </w:rPr>
        <w:t xml:space="preserve">) means the total selling price of an HP Consumer Business engagement as approved by MMG management, as increased or decreased only by an approved change order.</w:t>
      </w:r>
    </w:p>
    <w:p>
      <w:pPr>
        <w:pStyle w:val="ListParagraph"/>
        <w:numPr>
          <w:ilvl w:val="0"/>
          <w:numId w:val="2"/>
        </w:numPr>
        <w:spacing w:after="140" w:line="300"/>
      </w:pPr>
      <w:r>
        <w:rPr>
          <w:rFonts w:ascii="Open Sans" w:cs="Open Sans" w:eastAsia="Open Sans" w:hAnsi="Open Sans"/>
          <w:b/>
          <w:bCs/>
          <w:color w:val="1D1D1B"/>
          <w:sz w:val="21"/>
          <w:szCs w:val="21"/>
        </w:rPr>
        <w:t xml:space="preserve">“Margin Integrity Approval” </w:t>
      </w:r>
      <w:r>
        <w:rPr>
          <w:rFonts w:ascii="Open Sans" w:cs="Open Sans" w:eastAsia="Open Sans" w:hAnsi="Open Sans"/>
          <w:color w:val="1D1D1B"/>
          <w:sz w:val="21"/>
          <w:szCs w:val="21"/>
        </w:rPr>
        <w:t xml:space="preserve">means </w:t>
      </w:r>
      <w:r>
        <w:rPr>
          <w:rFonts w:ascii="Open Sans" w:cs="Open Sans" w:eastAsia="Open Sans" w:hAnsi="Open Sans"/>
          <w:b/>
          <w:bCs/>
          <w:color w:val="1D1D1B"/>
          <w:sz w:val="21"/>
          <w:szCs w:val="21"/>
        </w:rPr>
        <w:t xml:space="preserve">Bill Gusmano’s</w:t>
      </w:r>
      <w:r>
        <w:rPr>
          <w:rFonts w:ascii="Open Sans" w:cs="Open Sans" w:eastAsia="Open Sans" w:hAnsi="Open Sans"/>
          <w:color w:val="1D1D1B"/>
          <w:sz w:val="21"/>
          <w:szCs w:val="21"/>
        </w:rPr>
        <w:t xml:space="preserve"> (or his written designee’s) written approval, obtained before a proposal or new scope is sent to the customer, of (a) the Gross Margin % for that engagement, and (b) the Commission Rate to apply to it. No commission accrues on any engagement lacking Margin Integrity Approval.</w:t>
      </w:r>
    </w:p>
    <w:p>
      <w:pPr>
        <w:pStyle w:val="ListParagraph"/>
        <w:numPr>
          <w:ilvl w:val="0"/>
          <w:numId w:val="2"/>
        </w:numPr>
        <w:spacing w:after="140" w:line="300"/>
      </w:pPr>
      <w:r>
        <w:rPr>
          <w:rFonts w:ascii="Open Sans" w:cs="Open Sans" w:eastAsia="Open Sans" w:hAnsi="Open Sans"/>
          <w:b/>
          <w:bCs/>
          <w:color w:val="1D1D1B"/>
          <w:sz w:val="21"/>
          <w:szCs w:val="21"/>
        </w:rPr>
        <w:t xml:space="preserve">“Commission Rate” </w:t>
      </w:r>
      <w:r>
        <w:rPr>
          <w:rFonts w:ascii="Open Sans" w:cs="Open Sans" w:eastAsia="Open Sans" w:hAnsi="Open Sans"/>
          <w:color w:val="1D1D1B"/>
          <w:sz w:val="21"/>
          <w:szCs w:val="21"/>
        </w:rPr>
        <w:t xml:space="preserve">means 15% of Approved Contract Value (Revenue), except that MMG may approve a lower rate for a specific engagement as part of Margin Integrity Approval if MMG determines a lower rate is necessary to protect margin on that engagement. Any lower rate applies only to the engagement it is approved for.</w:t>
      </w:r>
    </w:p>
    <w:p>
      <w:pPr>
        <w:pStyle w:val="ListParagraph"/>
        <w:numPr>
          <w:ilvl w:val="0"/>
          <w:numId w:val="2"/>
        </w:numPr>
        <w:spacing w:after="140" w:line="300"/>
      </w:pPr>
      <w:r>
        <w:rPr>
          <w:rFonts w:ascii="Open Sans" w:cs="Open Sans" w:eastAsia="Open Sans" w:hAnsi="Open Sans"/>
          <w:b/>
          <w:bCs/>
          <w:color w:val="1D1D1B"/>
          <w:sz w:val="21"/>
          <w:szCs w:val="21"/>
        </w:rPr>
        <w:t xml:space="preserve">“Term” </w:t>
      </w:r>
      <w:r>
        <w:rPr>
          <w:rFonts w:ascii="Open Sans" w:cs="Open Sans" w:eastAsia="Open Sans" w:hAnsi="Open Sans"/>
          <w:color w:val="1D1D1B"/>
          <w:sz w:val="21"/>
          <w:szCs w:val="21"/>
        </w:rPr>
        <w:t xml:space="preserve">means September 1, 2026 through December 31, 2026. This Agreement does not renew automatically; continuing past that date requires a new written agreement.</w:t>
      </w:r>
    </w:p>
    <w:p>
      <w:pPr>
        <w:pStyle w:val="ListParagraph"/>
        <w:numPr>
          <w:ilvl w:val="0"/>
          <w:numId w:val="2"/>
        </w:numPr>
        <w:spacing w:after="140" w:line="300"/>
      </w:pPr>
      <w:r>
        <w:rPr>
          <w:rFonts w:ascii="Open Sans" w:cs="Open Sans" w:eastAsia="Open Sans" w:hAnsi="Open Sans"/>
          <w:b/>
          <w:bCs/>
          <w:color w:val="1D1D1B"/>
          <w:sz w:val="21"/>
          <w:szCs w:val="21"/>
        </w:rPr>
        <w:t xml:space="preserve">“MMG IP” </w:t>
      </w:r>
      <w:r>
        <w:rPr>
          <w:rFonts w:ascii="Open Sans" w:cs="Open Sans" w:eastAsia="Open Sans" w:hAnsi="Open Sans"/>
          <w:color w:val="1D1D1B"/>
          <w:sz w:val="21"/>
          <w:szCs w:val="21"/>
        </w:rPr>
        <w:t xml:space="preserve">means MMG’s methodologies, frameworks, templates, tools, pricing models, training content, playbooks, and software, whether created before or during the Term, including anything the Sales Representative contributes to or improves while performing under this Agreement. </w:t>
      </w:r>
      <w:r>
        <w:rPr>
          <w:rFonts w:ascii="Open Sans" w:cs="Open Sans" w:eastAsia="Open Sans" w:hAnsi="Open Sans"/>
          <w:b/>
          <w:bCs/>
          <w:color w:val="1D1D1B"/>
          <w:sz w:val="21"/>
          <w:szCs w:val="21"/>
        </w:rPr>
        <w:t xml:space="preserve">“Customer IP” </w:t>
      </w:r>
      <w:r>
        <w:rPr>
          <w:rFonts w:ascii="Open Sans" w:cs="Open Sans" w:eastAsia="Open Sans" w:hAnsi="Open Sans"/>
          <w:color w:val="1D1D1B"/>
          <w:sz w:val="21"/>
          <w:szCs w:val="21"/>
        </w:rPr>
        <w:t xml:space="preserve">means any data, content, or confidential information of an MMG customer or prospect that the Sales Representative accesses in the course of this work. Both remain MMG’s or the customer’s property, respectively — see Section 4.</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2. Scope, Term, and Commission</w:t>
      </w:r>
    </w:p>
    <w:p>
      <w:pPr>
        <w:pStyle w:val="ListParagraph"/>
        <w:numPr>
          <w:ilvl w:val="0"/>
          <w:numId w:val="3"/>
        </w:numPr>
        <w:spacing w:after="140" w:line="300"/>
      </w:pPr>
      <w:r>
        <w:rPr>
          <w:rFonts w:ascii="Open Sans" w:cs="Open Sans" w:eastAsia="Open Sans" w:hAnsi="Open Sans"/>
          <w:b/>
          <w:bCs/>
          <w:color w:val="1D1D1B"/>
          <w:sz w:val="21"/>
          <w:szCs w:val="21"/>
        </w:rPr>
        <w:t xml:space="preserve">Scope — HP Consumer only. </w:t>
      </w:r>
      <w:r>
        <w:rPr>
          <w:rFonts w:ascii="Open Sans" w:cs="Open Sans" w:eastAsia="Open Sans" w:hAnsi="Open Sans"/>
          <w:color w:val="1D1D1B"/>
          <w:sz w:val="21"/>
          <w:szCs w:val="21"/>
        </w:rPr>
        <w:t xml:space="preserve">This Agreement covers only the HP Consumer Business defined above. It does not authorize, and no commission is payable on, any other MMG account or engagement. Any new scope of work for Alex Botham’s organization, and any new referral engagement, must be approved in writing by Bill Gusmano before it is sold, including confirmation that pricing maintains margin integrity.</w:t>
      </w:r>
    </w:p>
    <w:p>
      <w:pPr>
        <w:pStyle w:val="ListParagraph"/>
        <w:numPr>
          <w:ilvl w:val="0"/>
          <w:numId w:val="3"/>
        </w:numPr>
        <w:spacing w:after="140" w:line="300"/>
      </w:pPr>
      <w:r>
        <w:rPr>
          <w:rFonts w:ascii="Open Sans" w:cs="Open Sans" w:eastAsia="Open Sans" w:hAnsi="Open Sans"/>
          <w:b/>
          <w:bCs/>
          <w:color w:val="1D1D1B"/>
          <w:sz w:val="21"/>
          <w:szCs w:val="21"/>
        </w:rPr>
        <w:t xml:space="preserve">Term. </w:t>
      </w:r>
      <w:r>
        <w:rPr>
          <w:rFonts w:ascii="Open Sans" w:cs="Open Sans" w:eastAsia="Open Sans" w:hAnsi="Open Sans"/>
          <w:color w:val="1D1D1B"/>
          <w:sz w:val="21"/>
          <w:szCs w:val="21"/>
        </w:rPr>
        <w:t xml:space="preserve">This Agreement runs for the fixed Term above — no tiers, no stair-steps, no cumulative-revenue thresholds.</w:t>
      </w:r>
    </w:p>
    <w:p>
      <w:pPr>
        <w:pStyle w:val="ListParagraph"/>
        <w:numPr>
          <w:ilvl w:val="0"/>
          <w:numId w:val="3"/>
        </w:numPr>
        <w:spacing w:after="140" w:line="300"/>
      </w:pPr>
      <w:r>
        <w:rPr>
          <w:rFonts w:ascii="Open Sans" w:cs="Open Sans" w:eastAsia="Open Sans" w:hAnsi="Open Sans"/>
          <w:b/>
          <w:bCs/>
          <w:color w:val="1D1D1B"/>
          <w:sz w:val="21"/>
          <w:szCs w:val="21"/>
        </w:rPr>
        <w:t xml:space="preserve">Commission Rate. </w:t>
      </w:r>
      <w:r>
        <w:rPr>
          <w:rFonts w:ascii="Open Sans" w:cs="Open Sans" w:eastAsia="Open Sans" w:hAnsi="Open Sans"/>
          <w:color w:val="1D1D1B"/>
          <w:sz w:val="21"/>
          <w:szCs w:val="21"/>
        </w:rPr>
        <w:t xml:space="preserve">Commission is 15% of Approved Contract Value (Revenue) on HP Consumer Business engagements, unless MMG approves a lower rate for a specific engagement under Section 1.4 to protect margin.</w:t>
      </w:r>
    </w:p>
    <w:p>
      <w:pPr>
        <w:pStyle w:val="ListParagraph"/>
        <w:numPr>
          <w:ilvl w:val="0"/>
          <w:numId w:val="3"/>
        </w:numPr>
        <w:spacing w:after="140" w:line="300"/>
      </w:pPr>
      <w:r>
        <w:rPr>
          <w:rFonts w:ascii="Open Sans" w:cs="Open Sans" w:eastAsia="Open Sans" w:hAnsi="Open Sans"/>
          <w:b/>
          <w:bCs/>
          <w:color w:val="1D1D1B"/>
          <w:sz w:val="21"/>
          <w:szCs w:val="21"/>
        </w:rPr>
        <w:t xml:space="preserve">Margin Integrity Approval required. </w:t>
      </w:r>
      <w:r>
        <w:rPr>
          <w:rFonts w:ascii="Open Sans" w:cs="Open Sans" w:eastAsia="Open Sans" w:hAnsi="Open Sans"/>
          <w:color w:val="1D1D1B"/>
          <w:sz w:val="21"/>
          <w:szCs w:val="21"/>
        </w:rPr>
        <w:t xml:space="preserve">No commission accrues, and no Commission Rate is final, on any engagement or new scope until Bill Gusmano (or his written designee) has reviewed and approved it in writing, before the proposal is sent to the customer.</w:t>
      </w:r>
    </w:p>
    <w:p>
      <w:pPr>
        <w:pStyle w:val="ListParagraph"/>
        <w:numPr>
          <w:ilvl w:val="0"/>
          <w:numId w:val="3"/>
        </w:numPr>
        <w:spacing w:after="140" w:line="300"/>
      </w:pPr>
      <w:r>
        <w:rPr>
          <w:rFonts w:ascii="Open Sans" w:cs="Open Sans" w:eastAsia="Open Sans" w:hAnsi="Open Sans"/>
          <w:color w:val="1D1D1B"/>
          <w:sz w:val="21"/>
          <w:szCs w:val="21"/>
        </w:rPr>
        <w:t xml:space="preserve">The Commission Rate for an engagement is fixed at Margin Integrity Approval. Actual project profitability, cost overruns, or write-offs after approval have no effect on commission. A change order that changes the Approved Contract Value requires a new Margin Integrity Approval, applied prospectively.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Item</w:t>
            </w:r>
          </w:p>
        </w:tc>
        <w:tc>
          <w:tcPr>
            <w:tcW w:type="dxa" w:w="45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Amount</w:t>
            </w:r>
          </w:p>
        </w:tc>
      </w:tr>
      <w:tr>
        <w:tc>
          <w:tcPr>
            <w:tcW w:type="dxa" w:w="45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Approved Contract Value (example)</w:t>
            </w:r>
          </w:p>
        </w:tc>
        <w:tc>
          <w:tcPr>
            <w:tcW w:type="dxa" w:w="45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$23,025</w:t>
            </w:r>
          </w:p>
        </w:tc>
      </w:tr>
      <w:tr>
        <w:tc>
          <w:tcPr>
            <w:tcW w:type="dxa" w:w="45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Commission (standard rate)</w:t>
            </w:r>
          </w:p>
        </w:tc>
        <w:tc>
          <w:tcPr>
            <w:tcW w:type="dxa" w:w="45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15% × $23,025 = $3,453.75</w:t>
            </w:r>
          </w:p>
        </w:tc>
      </w:tr>
    </w:tbl>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3. Expenses</w:t>
      </w:r>
    </w:p>
    <w:p>
      <w:pPr>
        <w:pStyle w:val="ListParagraph"/>
        <w:numPr>
          <w:ilvl w:val="0"/>
          <w:numId w:val="4"/>
        </w:numPr>
        <w:spacing w:after="140" w:line="300"/>
      </w:pPr>
      <w:r>
        <w:rPr>
          <w:rFonts w:ascii="Open Sans" w:cs="Open Sans" w:eastAsia="Open Sans" w:hAnsi="Open Sans"/>
          <w:color w:val="1D1D1B"/>
          <w:sz w:val="21"/>
          <w:szCs w:val="21"/>
        </w:rPr>
        <w:t xml:space="preserve">MMG will pay a cell phone allowance of </w:t>
      </w:r>
      <w:r>
        <w:rPr>
          <w:rFonts w:ascii="Open Sans" w:cs="Open Sans" w:eastAsia="Open Sans" w:hAnsi="Open Sans"/>
          <w:b/>
          <w:bCs/>
          <w:color w:val="1D1D1B"/>
          <w:sz w:val="21"/>
          <w:szCs w:val="21"/>
        </w:rPr>
        <w:t xml:space="preserve">$100 per month</w:t>
      </w:r>
      <w:r>
        <w:rPr>
          <w:rFonts w:ascii="Open Sans" w:cs="Open Sans" w:eastAsia="Open Sans" w:hAnsi="Open Sans"/>
          <w:color w:val="1D1D1B"/>
          <w:sz w:val="21"/>
          <w:szCs w:val="21"/>
        </w:rPr>
        <w:t xml:space="preserve"> toward the Sales Representative’s personal cell phone bill. MMG does not pay or reimburse the Sales Representative’s personal internet bill, and does not provide any other standing monthly expense account under this Agreement.</w:t>
      </w:r>
    </w:p>
    <w:p>
      <w:pPr>
        <w:pStyle w:val="ListParagraph"/>
        <w:numPr>
          <w:ilvl w:val="0"/>
          <w:numId w:val="4"/>
        </w:numPr>
        <w:spacing w:after="140" w:line="300"/>
      </w:pPr>
      <w:r>
        <w:rPr>
          <w:rFonts w:ascii="Open Sans" w:cs="Open Sans" w:eastAsia="Open Sans" w:hAnsi="Open Sans"/>
          <w:color w:val="1D1D1B"/>
          <w:sz w:val="21"/>
          <w:szCs w:val="21"/>
        </w:rPr>
        <w:t xml:space="preserve">All other expenses — including travel, client entertainment, and dinners — require MMG’s written pre-approval before they are incurred. MMG will not reimburse any expense that was not pre-approved.</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4. Confidentiality and IP</w:t>
      </w:r>
    </w:p>
    <w:p>
      <w:pPr>
        <w:spacing w:after="160" w:line="300"/>
      </w:pPr>
      <w:r>
        <w:rPr>
          <w:rFonts w:ascii="Open Sans" w:cs="Open Sans" w:eastAsia="Open Sans" w:hAnsi="Open Sans"/>
          <w:color w:val="1D1D1B"/>
          <w:sz w:val="21"/>
          <w:szCs w:val="21"/>
        </w:rPr>
        <w:t xml:space="preserve">MMG IP and Customer IP remain MMG’s or the customer’s property; nothing here transfers any ownership to the Sales Representative, and any improvement the Sales Representative contributes to MMG IP is owned by MMG. The Sales Representative shall keep all MMG IP, Customer IP, and other non-public MMG information (pricing, cost structures, margin data, commission terms, financial information, customer lists, deal terms) confidential, use it solely to perform this Agreement, and never disclose it to any third party — including any customer, prospect, other employer, or business — </w:t>
      </w:r>
      <w:r>
        <w:rPr>
          <w:rFonts w:ascii="Open Sans" w:cs="Open Sans" w:eastAsia="Open Sans" w:hAnsi="Open Sans"/>
          <w:b/>
          <w:bCs/>
          <w:color w:val="1D1D1B"/>
          <w:sz w:val="21"/>
          <w:szCs w:val="21"/>
        </w:rPr>
        <w:t xml:space="preserve">unless authorized in writing by Bill Gusmano</w:t>
      </w:r>
      <w:r>
        <w:rPr>
          <w:rFonts w:ascii="Open Sans" w:cs="Open Sans" w:eastAsia="Open Sans" w:hAnsi="Open Sans"/>
          <w:color w:val="1D1D1B"/>
          <w:sz w:val="21"/>
          <w:szCs w:val="21"/>
        </w:rPr>
        <w:t xml:space="preserve">, and shall return or destroy all of it on termination or MMG’s request. This obligation survives termination indefinitely for trade secrets and for twelve (12) months for other confidential information.</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5. Job Responsibilities</w:t>
      </w:r>
    </w:p>
    <w:p>
      <w:pPr>
        <w:spacing w:after="160" w:line="300"/>
      </w:pPr>
      <w:r>
        <w:rPr>
          <w:rFonts w:ascii="Open Sans" w:cs="Open Sans" w:eastAsia="Open Sans" w:hAnsi="Open Sans"/>
          <w:color w:val="1D1D1B"/>
          <w:sz w:val="21"/>
          <w:szCs w:val="21"/>
        </w:rPr>
        <w:t xml:space="preserve">This Agreement is for ongoing business development and account management of the HP Consumer Business only — not operational delivery (project execution, staffing, production). Responsibilities: client relationship management with Alex Botham’s team; new business development within HP Consumer Business; change-order coordination; account planning; kickoff calls; and ongoing customer-satisfaction monitoring for that account.</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6. Payment and Termination</w:t>
      </w:r>
    </w:p>
    <w:p>
      <w:pPr>
        <w:pStyle w:val="ListParagraph"/>
        <w:numPr>
          <w:ilvl w:val="0"/>
          <w:numId w:val="5"/>
        </w:numPr>
        <w:spacing w:after="140" w:line="300"/>
      </w:pPr>
      <w:r>
        <w:rPr>
          <w:rFonts w:ascii="Open Sans" w:cs="Open Sans" w:eastAsia="Open Sans" w:hAnsi="Open Sans"/>
          <w:b/>
          <w:bCs/>
          <w:color w:val="1D1D1B"/>
          <w:sz w:val="21"/>
          <w:szCs w:val="21"/>
        </w:rPr>
        <w:t xml:space="preserve">Earning and payment. </w:t>
      </w:r>
      <w:r>
        <w:rPr>
          <w:rFonts w:ascii="Open Sans" w:cs="Open Sans" w:eastAsia="Open Sans" w:hAnsi="Open Sans"/>
          <w:color w:val="1D1D1B"/>
          <w:sz w:val="21"/>
          <w:szCs w:val="21"/>
        </w:rPr>
        <w:t xml:space="preserve">Commission is earned proportionally as customer payments (net of refunds/chargebacks) are received by MMG, and paid by the last day of the following calendar month.</w:t>
      </w:r>
    </w:p>
    <w:p>
      <w:pPr>
        <w:pStyle w:val="ListParagraph"/>
        <w:numPr>
          <w:ilvl w:val="0"/>
          <w:numId w:val="5"/>
        </w:numPr>
        <w:spacing w:after="140" w:line="300"/>
      </w:pPr>
      <w:r>
        <w:rPr>
          <w:rFonts w:ascii="Open Sans" w:cs="Open Sans" w:eastAsia="Open Sans" w:hAnsi="Open Sans"/>
          <w:b/>
          <w:bCs/>
          <w:color w:val="1D1D1B"/>
          <w:sz w:val="21"/>
          <w:szCs w:val="21"/>
        </w:rPr>
        <w:t xml:space="preserve">Termination. </w:t>
      </w:r>
      <w:r>
        <w:rPr>
          <w:rFonts w:ascii="Open Sans" w:cs="Open Sans" w:eastAsia="Open Sans" w:hAnsi="Open Sans"/>
          <w:color w:val="1D1D1B"/>
          <w:sz w:val="21"/>
          <w:szCs w:val="21"/>
        </w:rPr>
        <w:t xml:space="preserve">Either Party may terminate at any time, with or without cause, on written notice. After termination, commission remains payable only on HP Consumer Business engagements with Margin Integrity Approval dated before the termination date, and only on payments MMG receives within ninety (90) days after that date.</w:t>
      </w:r>
    </w:p>
    <w:p>
      <w:pPr>
        <w:pStyle w:val="ListParagraph"/>
        <w:numPr>
          <w:ilvl w:val="0"/>
          <w:numId w:val="5"/>
        </w:numPr>
        <w:spacing w:after="140" w:line="300"/>
      </w:pPr>
      <w:r>
        <w:rPr>
          <w:rFonts w:ascii="Open Sans" w:cs="Open Sans" w:eastAsia="Open Sans" w:hAnsi="Open Sans"/>
          <w:b/>
          <w:bCs/>
          <w:color w:val="1D1D1B"/>
          <w:sz w:val="21"/>
          <w:szCs w:val="21"/>
        </w:rPr>
        <w:t xml:space="preserve">Records. </w:t>
      </w:r>
      <w:r>
        <w:rPr>
          <w:rFonts w:ascii="Open Sans" w:cs="Open Sans" w:eastAsia="Open Sans" w:hAnsi="Open Sans"/>
          <w:color w:val="1D1D1B"/>
          <w:sz w:val="21"/>
          <w:szCs w:val="21"/>
        </w:rPr>
        <w:t xml:space="preserve">MMG’s written Margin Integrity Approval is the conclusive record of the commission basis for each engagement. The Sales Representative must raise any dispute over a commission statement in writing within sixty (60) days; disputes not raised in time are deemed accepted.</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7. General</w:t>
      </w:r>
    </w:p>
    <w:p>
      <w:pPr>
        <w:pStyle w:val="ListParagraph"/>
        <w:numPr>
          <w:ilvl w:val="0"/>
          <w:numId w:val="6"/>
        </w:numPr>
        <w:spacing w:after="140" w:line="300"/>
      </w:pPr>
      <w:r>
        <w:rPr>
          <w:rFonts w:ascii="Open Sans" w:cs="Open Sans" w:eastAsia="Open Sans" w:hAnsi="Open Sans"/>
          <w:color w:val="1D1D1B"/>
          <w:sz w:val="21"/>
          <w:szCs w:val="21"/>
        </w:rPr>
        <w:t xml:space="preserve">Governed by Arizona law; venue in Maricopa County, Arizona.</w:t>
      </w:r>
    </w:p>
    <w:p>
      <w:pPr>
        <w:pStyle w:val="ListParagraph"/>
        <w:numPr>
          <w:ilvl w:val="0"/>
          <w:numId w:val="6"/>
        </w:numPr>
        <w:spacing w:after="140" w:line="300"/>
      </w:pPr>
      <w:r>
        <w:rPr>
          <w:rFonts w:ascii="Open Sans" w:cs="Open Sans" w:eastAsia="Open Sans" w:hAnsi="Open Sans"/>
          <w:color w:val="1D1D1B"/>
          <w:sz w:val="21"/>
          <w:szCs w:val="21"/>
        </w:rPr>
        <w:t xml:space="preserve">This Agreement is the entire agreement between the Parties regarding HP Consumer Business commissions and supersedes any prior arrangement covering that business. Amendments require a signed writing.</w:t>
      </w:r>
    </w:p>
    <w:p>
      <w:pPr>
        <w:pStyle w:val="ListParagraph"/>
        <w:numPr>
          <w:ilvl w:val="0"/>
          <w:numId w:val="6"/>
        </w:numPr>
        <w:spacing w:after="140" w:line="300"/>
      </w:pPr>
      <w:r>
        <w:rPr>
          <w:rFonts w:ascii="Open Sans" w:cs="Open Sans" w:eastAsia="Open Sans" w:hAnsi="Open Sans"/>
          <w:color w:val="1D1D1B"/>
          <w:sz w:val="21"/>
          <w:szCs w:val="21"/>
        </w:rPr>
        <w:t xml:space="preserve">If any provision is unenforceable, the rest remains in effect. The Sales Representative may not assign this Agreement without MMG’s written consent. Electronic signatures and counterparts are valid.</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Signatures</w:t>
      </w:r>
    </w:p>
    <w:p>
      <w:pPr>
        <w:spacing w:after="60" w:before="120"/>
      </w:pPr>
      <w:r>
        <w:rPr>
          <w:rFonts w:ascii="Source Serif Pro" w:cs="Source Serif Pro" w:eastAsia="Source Serif Pro" w:hAnsi="Source Serif Pro"/>
          <w:b/>
          <w:bCs/>
          <w:color w:val="1D1D1B"/>
          <w:sz w:val="23"/>
          <w:szCs w:val="23"/>
        </w:rPr>
        <w:t xml:space="preserve">MMG Global LLC d/b/a The Motivated Mind Group</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Signature</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Name: William J. Gusmano · Title: Co-Founder &amp; CEO</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Date</w:t>
      </w:r>
    </w:p>
    <w:p>
      <w:pPr>
        <w:spacing w:after="60" w:before="320"/>
      </w:pPr>
      <w:r>
        <w:rPr>
          <w:rFonts w:ascii="Source Serif Pro" w:cs="Source Serif Pro" w:eastAsia="Source Serif Pro" w:hAnsi="Source Serif Pro"/>
          <w:b/>
          <w:bCs/>
          <w:color w:val="1D1D1B"/>
          <w:sz w:val="23"/>
          <w:szCs w:val="23"/>
        </w:rPr>
        <w:t xml:space="preserve">Sales Representative — Jeff Gibbs</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Signature</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Name: Jeff Gibbs · Title: CRO</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Date</w:t>
      </w:r>
    </w:p>
    <w:p>
      <w:pPr>
        <w:spacing w:before="400"/>
      </w:pPr>
      <w:r>
        <w:rPr>
          <w:rFonts w:ascii="Open Sans" w:cs="Open Sans" w:eastAsia="Open Sans" w:hAnsi="Open Sans"/>
          <w:i/>
          <w:iCs/>
          <w:color w:val="1D1D1B"/>
          <w:sz w:val="17"/>
          <w:szCs w:val="17"/>
        </w:rPr>
        <w:t xml:space="preserve">Template — not legal advice. Have counsel review before execution.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1D1B" w:sz="6" w:space="4"/>
      </w:pBdr>
      <w:jc w:val="center"/>
    </w:pPr>
    <w:r>
      <w:rPr>
        <w:rFonts w:ascii="Open Sans" w:cs="Open Sans" w:eastAsia="Open Sans" w:hAnsi="Open Sans"/>
        <w:color w:val="1D1D1B"/>
        <w:sz w:val="15"/>
        <w:szCs w:val="15"/>
      </w:rPr>
      <w:t xml:space="preserve">© 2026 The Motivated Mind Group Inc. | 480-219-2875 | support@themotivatedmindgroup.com | 260 S Arizona Ave, Chandler AZ 85225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480"/>
      </w:pPr>
      <w:rPr>
        <w:b/>
        <w:bCs/>
      </w:rPr>
    </w:lvl>
  </w:abstractNum>
  <w:abstractNum w:abstractNumId="3" w15:restartNumberingAfterBreak="0">
    <w:multiLevelType w:val="hybridMultilevel"/>
    <w:lvl w:ilvl="0" w15:tentative="1">
      <w:start w:val="1"/>
      <w:numFmt w:val="decimal"/>
      <w:lvlText w:val="%1."/>
      <w:lvlJc w:val="start"/>
      <w:pPr>
        <w:ind w:left="480" w:hanging="480"/>
      </w:pPr>
      <w:rPr>
        <w:b/>
        <w:bCs/>
      </w:rPr>
    </w:lvl>
  </w:abstractNum>
  <w:abstractNum w:abstractNumId="4" w15:restartNumberingAfterBreak="0">
    <w:multiLevelType w:val="hybridMultilevel"/>
    <w:lvl w:ilvl="0" w15:tentative="1">
      <w:start w:val="1"/>
      <w:numFmt w:val="decimal"/>
      <w:lvlText w:val="%1."/>
      <w:lvlJc w:val="start"/>
      <w:pPr>
        <w:ind w:left="480" w:hanging="480"/>
      </w:pPr>
      <w:rPr>
        <w:b/>
        <w:bCs/>
      </w:rPr>
    </w:lvl>
  </w:abstractNum>
  <w:abstractNum w:abstractNumId="5" w15:restartNumberingAfterBreak="0">
    <w:multiLevelType w:val="hybridMultilevel"/>
    <w:lvl w:ilvl="0" w15:tentative="1">
      <w:start w:val="1"/>
      <w:numFmt w:val="decimal"/>
      <w:lvlText w:val="%1."/>
      <w:lvlJc w:val="start"/>
      <w:pPr>
        <w:ind w:left="480" w:hanging="480"/>
      </w:pPr>
      <w:rPr>
        <w:b/>
        <w:bCs/>
      </w:rPr>
    </w:lvl>
  </w:abstractNum>
  <w:abstractNum w:abstractNumId="6" w15:restartNumberingAfterBreak="0">
    <w:multiLevelType w:val="hybridMultilevel"/>
    <w:lvl w:ilvl="0" w15:tentative="1">
      <w:start w:val="1"/>
      <w:numFmt w:val="decimal"/>
      <w:lvlText w:val="%1."/>
      <w:lvlJc w:val="start"/>
      <w:pPr>
        <w:ind w:left="480" w:hanging="480"/>
      </w:pPr>
      <w:rPr>
        <w:b/>
        <w:bCs/>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1D1D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e5a0ddf5adc266c5c083cbccca70be3544b831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2026-08-07T18:11:37.687Z</dcterms:created>
  <dcterms:modified xsi:type="dcterms:W3CDTF">2026-08-07T18:11:37.688Z</dcterms:modified>
</cp:coreProperties>
</file>

<file path=docProps/custom.xml><?xml version="1.0" encoding="utf-8"?>
<Properties xmlns="http://schemas.openxmlformats.org/officeDocument/2006/custom-properties" xmlns:vt="http://schemas.openxmlformats.org/officeDocument/2006/docPropsVTypes"/>
</file>