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C6E"/>
          <w:sz w:val="48"/>
          <w:szCs w:val="48"/>
        </w:rPr>
        <w:t xml:space="preserve">Token 预算实验</w:t>
      </w:r>
    </w:p>
    <w:p>
      <w:pPr>
        <w:spacing w:after="120"/>
        <w:jc w:val="center"/>
      </w:pPr>
      <w:r>
        <w:rPr>
          <w:rFonts w:ascii="Arial" w:cs="Arial" w:eastAsia="Arial" w:hAnsi="Arial"/>
          <w:color w:val="2E5090"/>
          <w:sz w:val="36"/>
          <w:szCs w:val="36"/>
        </w:rPr>
        <w:t xml:space="preserve">完整分析报告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八组 SWE-bench 83 个子问题上的 Token 分配实验</w:t>
      </w:r>
    </w:p>
    <w:p>
      <w:pPr>
        <w:pBdr>
          <w:bottom w:val="single" w:color="2E5090" w:sz="3" w:space="8"/>
        </w:pBdr>
        <w:spacing w:before="200" w:after="2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配套论文：Token Scale as Cognitive Energy</w:t>
      </w:r>
    </w:p>
    <w:p>
      <w:pPr>
        <w:spacing w:after="24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2026 年 3 月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1. 解决率曲线：S 型相变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解决率在八个预算级别（1w 到无限）上呈现平滑的 sigmoid 曲线，相变主区间集中在 1w→2w5（10.8%→44.6%），每 5000 token 都有显著提升。这不是不连续跳变，而是经典的 S 型激活。</w:t>
      </w:r>
    </w:p>
    <w:p>
      <w:pPr>
        <w:spacing w:before="200"/>
      </w:pP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各预算级别解决率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预算</w:t>
            </w:r>
          </w:p>
        </w:tc>
        <w:tc>
          <w:tcPr>
            <w:tcW w:type="dxa" w:w="10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1w</w:t>
            </w:r>
          </w:p>
        </w:tc>
        <w:tc>
          <w:tcPr>
            <w:tcW w:type="dxa" w:w="10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1w5</w:t>
            </w:r>
          </w:p>
        </w:tc>
        <w:tc>
          <w:tcPr>
            <w:tcW w:type="dxa" w:w="10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2w</w:t>
            </w:r>
          </w:p>
        </w:tc>
        <w:tc>
          <w:tcPr>
            <w:tcW w:type="dxa" w:w="10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2w5</w:t>
            </w:r>
          </w:p>
        </w:tc>
        <w:tc>
          <w:tcPr>
            <w:tcW w:type="dxa" w:w="10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3w</w:t>
            </w:r>
          </w:p>
        </w:tc>
        <w:tc>
          <w:tcPr>
            <w:tcW w:type="dxa" w:w="10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5w</w:t>
            </w:r>
          </w:p>
        </w:tc>
        <w:tc>
          <w:tcPr>
            <w:tcW w:type="dxa" w:w="10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10w</w:t>
            </w:r>
          </w:p>
        </w:tc>
        <w:tc>
          <w:tcPr>
            <w:tcW w:type="dxa" w:w="10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∞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解决率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10.8%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18.1%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28.9%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44.6%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51.8%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53.0%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20"/>
                <w:sz w:val="18"/>
                <w:szCs w:val="18"/>
              </w:rPr>
              <w:t xml:space="preserve">59.0%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56.6%</w:t>
            </w:r>
          </w:p>
        </w:tc>
      </w:tr>
    </w:tbl>
    <w:p>
      <w:pPr>
        <w:pBdr>
          <w:left w:val="single" w:color="E0C8A0" w:sz="4" w:space="6"/>
        </w:pBdr>
        <w:spacing w:before="120" w:after="40"/>
        <w:ind w:left="180"/>
      </w:pPr>
      <w:r>
        <w:rPr>
          <w:rFonts w:ascii="Arial" w:cs="Arial" w:eastAsia="Arial" w:hAnsi="Arial"/>
          <w:b/>
          <w:bCs/>
          <w:color w:val="8B6914"/>
          <w:sz w:val="19"/>
          <w:szCs w:val="19"/>
        </w:rPr>
        <w:t xml:space="preserve">▶ 指标说明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解决率 (Resolve Rate)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：在 SWE-bench 测试集的 83 个子问题上，Agent 成功解决的百分比。每个子问题对应一个真实的 GitHub issue，需要生成正确的 patch 通过测试套件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1w / 2w5 / 10w 等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：代表 token 预算上限：1w = 10,000 tokens，2w5 = 25,000 tokens，10w = 100,000 tokens；∞ = 无限制</w:t>
      </w:r>
    </w:p>
    <w:p>
      <w:pPr>
        <w:pBdr>
          <w:left w:val="single" w:color="E0C8A0" w:sz="4" w:space="6"/>
        </w:pBdr>
        <w:spacing w:before="10" w:after="120"/>
        <w:ind w:left="18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A6BB5"/>
          <w:sz w:val="22"/>
          <w:szCs w:val="22"/>
        </w:rPr>
        <w:t xml:space="preserve">关键发现</w:t>
      </w:r>
    </w:p>
    <w:p>
      <w:pPr>
        <w:pBdr>
          <w:left w:val="single" w:color="E8913A" w:sz="6" w:space="8"/>
        </w:pBdr>
        <w:spacing w:before="100" w:after="10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10w 预算组 (59.0%) 与无限预算组 (56.6%) 无显著差异（n=83, p &gt; 0.3），但冗余模式差异暗示无限预算下的额外 token 并非总是有益的。</w:t>
      </w:r>
    </w:p>
    <w:p>
      <w:pPr>
        <w:pBdr>
          <w:left w:val="single" w:color="E8913A" w:sz="6" w:space="8"/>
        </w:pBdr>
        <w:spacing w:before="100" w:after="10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相变主区间 1w→2w5 (10.8%→44.6%)，每 5000 token 都有显著提升。</w:t>
      </w:r>
    </w:p>
    <w:p>
      <w:pPr>
        <w:pBdr>
          <w:left w:val="single" w:color="E8913A" w:sz="6" w:space="8"/>
        </w:pBdr>
        <w:spacing w:before="100" w:after="10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2w5→3w 是最后一次有效跃升 (44.6%→51.8%)，之后进入平台期。</w:t>
      </w:r>
    </w:p>
    <w:p>
      <w:pPr>
        <w:pBdr>
          <w:left w:val="single" w:color="E8913A" w:sz="6" w:space="8"/>
        </w:pBdr>
        <w:spacing w:before="100" w:after="10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3w→5w 仅 +1.2pp，是明确的“收益悬崖”。</w:t>
      </w:r>
    </w:p>
    <w:p>
      <w:pPr>
        <w:spacing w:before="1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Sigmoid 拟合：Resolve(T) ≈ R_max / (1 + e^(-k(T - T₀)))，其中 T₀ ≈ 22,000 token，R_max ≈ 58%，k ≈ 0.0002。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2. 核心指标总表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1015"/>
        <w:gridCol w:w="1015"/>
        <w:gridCol w:w="1015"/>
        <w:gridCol w:w="1015"/>
        <w:gridCol w:w="1015"/>
        <w:gridCol w:w="1015"/>
        <w:gridCol w:w="1015"/>
        <w:gridCol w:w="1015"/>
      </w:tblGrid>
      <w:tr>
        <w:tc>
          <w:tcPr>
            <w:tcW w:type="dxa" w:w="12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1015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1w</w:t>
            </w:r>
          </w:p>
        </w:tc>
        <w:tc>
          <w:tcPr>
            <w:tcW w:type="dxa" w:w="1015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1w5</w:t>
            </w:r>
          </w:p>
        </w:tc>
        <w:tc>
          <w:tcPr>
            <w:tcW w:type="dxa" w:w="1015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2w</w:t>
            </w:r>
          </w:p>
        </w:tc>
        <w:tc>
          <w:tcPr>
            <w:tcW w:type="dxa" w:w="1015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2w5</w:t>
            </w:r>
          </w:p>
        </w:tc>
        <w:tc>
          <w:tcPr>
            <w:tcW w:type="dxa" w:w="1015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3w</w:t>
            </w:r>
          </w:p>
        </w:tc>
        <w:tc>
          <w:tcPr>
            <w:tcW w:type="dxa" w:w="1015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5w</w:t>
            </w:r>
          </w:p>
        </w:tc>
        <w:tc>
          <w:tcPr>
            <w:tcW w:type="dxa" w:w="1015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10w</w:t>
            </w:r>
          </w:p>
        </w:tc>
        <w:tc>
          <w:tcPr>
            <w:tcW w:type="dxa" w:w="1015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∞</w:t>
            </w:r>
          </w:p>
        </w:tc>
      </w:tr>
      <w:tr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解决率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10.8%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18.1%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28.9%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44.6%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51.8%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53.0%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59.0%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56.6%</w:t>
            </w:r>
          </w:p>
        </w:tc>
      </w:tr>
      <w:tr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总 Token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1.02M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1.36M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1.79M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2.32M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2.63M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3.79M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4.13M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4.43M</w:t>
            </w:r>
          </w:p>
        </w:tc>
      </w:tr>
      <w:tr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平均 tok/例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12,295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16,359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21,537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27,956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31,682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45,672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49,741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53,321</w:t>
            </w:r>
          </w:p>
        </w:tc>
      </w:tr>
      <w:tr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平均步骤/例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5.3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6.4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7.3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8.1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8.9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11.2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11.3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11.7</w:t>
            </w:r>
          </w:p>
        </w:tc>
      </w:tr>
      <w:tr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总花费($)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$0.65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$0.70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$0.88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$1.17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$1.23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$1.56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$1.50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$1.55</w:t>
            </w:r>
          </w:p>
        </w:tc>
      </w:tr>
      <w:tr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η_step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1.2%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1.3%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2.2%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3.1%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6.9%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11.5%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11.9%</w:t>
            </w:r>
          </w:p>
        </w:tc>
      </w:tr>
      <w:tr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η_token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0.8%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0.9%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2.0%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2.7%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8.5%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13.8%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14.1%</w:t>
            </w:r>
          </w:p>
        </w:tc>
      </w:tr>
      <w:tr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卡诺效率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33.3%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40.0%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46.2%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60.0%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85.7%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86.9%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93.8%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92.4%</w:t>
            </w:r>
          </w:p>
        </w:tc>
      </w:tr>
    </w:tbl>
    <w:p>
      <w:pPr>
        <w:pBdr>
          <w:left w:val="single" w:color="E0C8A0" w:sz="4" w:space="6"/>
        </w:pBdr>
        <w:spacing w:before="120" w:after="40"/>
        <w:ind w:left="180"/>
      </w:pPr>
      <w:r>
        <w:rPr>
          <w:rFonts w:ascii="Arial" w:cs="Arial" w:eastAsia="Arial" w:hAnsi="Arial"/>
          <w:b/>
          <w:bCs/>
          <w:color w:val="8B6914"/>
          <w:sz w:val="19"/>
          <w:szCs w:val="19"/>
        </w:rPr>
        <w:t xml:space="preserve">▶ 指标说明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解决率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：成功通过测试套件的问题占比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总 Token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：该预算组全部83题消耗的 token 总量（含 input + output）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平均 tok/例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：每道题平均消耗的 token 数，反映实际资源使用强度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平均步骤/例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：Agent 每道题平均执行的动作步数（每步 = 一次工具调用）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总花费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：按 API 定价计算的每题平均美元成本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η_step（步骤效率）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：“有效步骤”占总步骤的比例。有效步骤 = 直接导向正确解决方案的操作（编辑、验证、提交），排除探索、回溯和冗余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η_token（Token 效率）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：“有效 token”占总 token 的比例。即实际产生有用输出的 token 占比，类比热力学中的“热效率”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卡诺效率 (Carnot Eff.)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：在 Agent “知道自己在做什么”的步骤中，有效功占总功的比例。类比理想热机的卡诺上限。注意：“知道自己在做什么”的判定基于启发式规则（如“编辑后紧跟测试”），绝对值可能有偏差，但相对趋势（随预算上升）是可信的</w:t>
      </w:r>
    </w:p>
    <w:p>
      <w:pPr>
        <w:pBdr>
          <w:left w:val="single" w:color="E0C8A0" w:sz="4" w:space="6"/>
        </w:pBdr>
        <w:spacing w:before="10" w:after="120"/>
        <w:ind w:left="1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3. 边际收益分析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2w→2w5 区间达到全局最高边际效率：每多花 40,987 个 token 就能多解决一道题。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区间边际成本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300"/>
        <w:gridCol w:w="2860"/>
        <w:gridCol w:w="2300"/>
      </w:tblGrid>
      <w:tr>
        <w:tc>
          <w:tcPr>
            <w:tcW w:type="dxa" w:w="14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区间</w:t>
            </w:r>
          </w:p>
        </w:tc>
        <w:tc>
          <w:tcPr>
            <w:tcW w:type="dxa" w:w="1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额外 Token</w:t>
            </w:r>
          </w:p>
        </w:tc>
        <w:tc>
          <w:tcPr>
            <w:tcW w:type="dxa" w:w="13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额外解决</w:t>
            </w:r>
          </w:p>
        </w:tc>
        <w:tc>
          <w:tcPr>
            <w:tcW w:type="dxa" w:w="28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边际成本(tok/题)</w:t>
            </w:r>
          </w:p>
        </w:tc>
        <w:tc>
          <w:tcPr>
            <w:tcW w:type="dxa" w:w="23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评价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1w→1w5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+337K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56,210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高效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1w5→2w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+430K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+9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47,752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高效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2w→2w5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+533K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+13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40,987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全局最优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2w5→3w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+309K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51,540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高效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3w→5w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+1,161K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+1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1,161,134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断崖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5w→10w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+338K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67,546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中等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10w→∞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+297K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-2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∞（负收益）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反效果</w:t>
            </w:r>
          </w:p>
        </w:tc>
      </w:tr>
    </w:tbl>
    <w:p>
      <w:pPr>
        <w:pBdr>
          <w:left w:val="single" w:color="E0C8A0" w:sz="4" w:space="6"/>
        </w:pBdr>
        <w:spacing w:before="120" w:after="40"/>
        <w:ind w:left="180"/>
      </w:pPr>
      <w:r>
        <w:rPr>
          <w:rFonts w:ascii="Arial" w:cs="Arial" w:eastAsia="Arial" w:hAnsi="Arial"/>
          <w:b/>
          <w:bCs/>
          <w:color w:val="8B6914"/>
          <w:sz w:val="19"/>
          <w:szCs w:val="19"/>
        </w:rPr>
        <w:t xml:space="preserve">▶ 指标说明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额外 Token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：从上一个预算级别到当前级别，全部83题总共多消耗的 token 数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额外解决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：相比上一级别多解决的题数（绝对值）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边际成本 (tok/题)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：每多解决一道题需要额外投入的 token 数。越低越高效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评价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：绿色 = 返回高；红色 = 返回崩溃或为负</w:t>
      </w:r>
    </w:p>
    <w:p>
      <w:pPr>
        <w:pBdr>
          <w:left w:val="single" w:color="E0C8A0" w:sz="4" w:space="6"/>
        </w:pBdr>
        <w:spacing w:before="10" w:after="120"/>
        <w:ind w:left="1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每解决一题的平均总成本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预算</w:t>
            </w:r>
          </w:p>
        </w:tc>
        <w:tc>
          <w:tcPr>
            <w:tcW w:type="dxa" w:w="351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tok/题</w:t>
            </w:r>
          </w:p>
        </w:tc>
        <w:tc>
          <w:tcPr>
            <w:tcW w:type="dxa" w:w="351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评价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113,390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极低效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1w5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90,518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74,481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2w5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62,713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3w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61,154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最优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86,153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开始回升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84,255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∞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94,163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反而更贵</w:t>
            </w:r>
          </w:p>
        </w:tc>
      </w:tr>
    </w:tbl>
    <w:p>
      <w:pPr>
        <w:pBdr>
          <w:left w:val="single" w:color="E0C8A0" w:sz="4" w:space="6"/>
        </w:pBdr>
        <w:spacing w:before="120" w:after="40"/>
        <w:ind w:left="180"/>
      </w:pPr>
      <w:r>
        <w:rPr>
          <w:rFonts w:ascii="Arial" w:cs="Arial" w:eastAsia="Arial" w:hAnsi="Arial"/>
          <w:b/>
          <w:bCs/>
          <w:color w:val="8B6914"/>
          <w:sz w:val="19"/>
          <w:szCs w:val="19"/>
        </w:rPr>
        <w:t xml:space="preserve">▶ 指标说明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tok/题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：解决一道题的平均总 token 成本 = 总 token / 解决数。与边际成本不同，这是平均成本而非增量成本</w:t>
      </w:r>
    </w:p>
    <w:p>
      <w:pPr>
        <w:pBdr>
          <w:left w:val="single" w:color="E0C8A0" w:sz="4" w:space="6"/>
        </w:pBdr>
        <w:spacing w:before="10" w:after="120"/>
        <w:ind w:left="1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4. 预算约束的正则化效应：10w ≥ ∞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10w 预算组 (59.0%) 与无限预算组 (56.6%) 的解决率差异仅 2 道题。在 n=83 的样本量下，这一差异未达统计显著性（估计 p &gt; 0.3，binomial test）。因此我们不将其作为确认性结论，而是作为一个方向性信号 (suggestive evidence)。但冗余模式的系统性差异（见下文）提供了更强的支持。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交叉分析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10w</w:t>
            </w:r>
          </w:p>
        </w:tc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∞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解决总数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共同解决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独有解决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相对丢失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left w:val="single" w:color="E0C8A0" w:sz="4" w:space="6"/>
        </w:pBdr>
        <w:spacing w:before="120" w:after="40"/>
        <w:ind w:left="180"/>
      </w:pPr>
      <w:r>
        <w:rPr>
          <w:rFonts w:ascii="Arial" w:cs="Arial" w:eastAsia="Arial" w:hAnsi="Arial"/>
          <w:b/>
          <w:bCs/>
          <w:color w:val="8B6914"/>
          <w:sz w:val="19"/>
          <w:szCs w:val="19"/>
        </w:rPr>
        <w:t xml:space="preserve">▶ 指标说明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共同解决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：两组都解决的题目数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独有解决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：仅该组解决、另一组未解决的题目数。说明预算约束带来了不同的解题策略，而非纯粹的能力差异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相对丢失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：10w 组未解决但 ∞ 组解决的题目数——说明预算约束也会导致少量丢失</w:t>
      </w:r>
    </w:p>
    <w:p>
      <w:pPr>
        <w:pBdr>
          <w:left w:val="single" w:color="E0C8A0" w:sz="4" w:space="6"/>
        </w:pBdr>
        <w:spacing w:before="10" w:after="120"/>
        <w:ind w:left="18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虽然解决率差异未达显著，但冗余模式的系统性差异提供了更强的证据：预算约束可能充当了</w:t>
      </w: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隐式正则化器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——阻止 Agent 在错误路径上浪费过多 token，迫使其更快提交。无限预算组在 post-submit 清理上花了 626K token（vs. 10w 的 542K），并做了更多焦虑性 git 检查——这些冗余模式的差异是系统性的，而非统计噪声。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我们提议在论文中探讨：</w:t>
      </w:r>
      <w:r>
        <w:rPr>
          <w:rFonts w:ascii="Arial" w:cs="Arial" w:eastAsia="Arial" w:hAnsi="Arial"/>
          <w:b/>
          <w:bCs/>
          <w:i/>
          <w:iCs/>
          <w:color w:val="1A3C6E"/>
          <w:sz w:val="20"/>
          <w:szCs w:val="20"/>
        </w:rPr>
        <w:t xml:space="preserve">“认知帕金森定律”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——在缺乏外部约束时，认知工作会膨胀以填满可用资源。最优预算可能并非无限，而是略高于任务的“认知激活能”。这一假说需要在更大样本量和多 Agent 架构上进一步验证。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5. 认知卡诺效率 η(T)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η 不是常数——它是 token 预算 T 的 sigmoid 函数，存在明确的“认知激活能”阈值，低于此阈值时有效功趋近于零。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各预算级别的 η_token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c>
          <w:tcPr>
            <w:tcW w:type="dxa" w:w="15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预算</w:t>
            </w:r>
          </w:p>
        </w:tc>
        <w:tc>
          <w:tcPr>
            <w:tcW w:type="dxa" w:w="15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η_token</w:t>
            </w:r>
          </w:p>
        </w:tc>
        <w:tc>
          <w:tcPr>
            <w:tcW w:type="dxa" w:w="62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0.5%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低于激活能——几乎无有效功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1w5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0.8%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低于激活能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0.9%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低于激活能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2w5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2.0%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过渡区——开始产生有效功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2.7%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过渡区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8.5%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工作区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13.8%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饱和区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∞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14.1%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饱和区</w:t>
            </w:r>
          </w:p>
        </w:tc>
      </w:tr>
    </w:tbl>
    <w:p>
      <w:pPr>
        <w:pBdr>
          <w:left w:val="single" w:color="E0C8A0" w:sz="4" w:space="6"/>
        </w:pBdr>
        <w:spacing w:before="120" w:after="40"/>
        <w:ind w:left="180"/>
      </w:pPr>
      <w:r>
        <w:rPr>
          <w:rFonts w:ascii="Arial" w:cs="Arial" w:eastAsia="Arial" w:hAnsi="Arial"/>
          <w:b/>
          <w:bCs/>
          <w:color w:val="8B6914"/>
          <w:sz w:val="19"/>
          <w:szCs w:val="19"/>
        </w:rPr>
        <w:t xml:space="preserve">▶ 指标说明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激活能 (T_act)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：类比化学反应的激活能——Agent 需要超过最低 token 阈值才能从“看题”转入“做题”。实测 T_act ≈ 25,000 tokens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饱和区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：η 不再随预算增加而显著提升，稳定在 ~14%。论文预估 5–15% 完美括住了实测上界</w:t>
      </w:r>
    </w:p>
    <w:p>
      <w:pPr>
        <w:pBdr>
          <w:left w:val="single" w:color="E0C8A0" w:sz="4" w:space="6"/>
        </w:pBdr>
        <w:spacing w:before="10" w:after="120"/>
        <w:ind w:left="18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建议模型：</w:t>
      </w:r>
      <w:r>
        <w:rPr>
          <w:rFonts w:ascii="Courier New" w:cs="Courier New" w:eastAsia="Courier New" w:hAnsi="Courier New"/>
          <w:b/>
          <w:bCs/>
          <w:color w:val="2E5090"/>
          <w:sz w:val="20"/>
          <w:szCs w:val="20"/>
        </w:rPr>
        <w:t xml:space="preserve">η(T) = η_max × σ(T – T_act)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其中 η_max ≈ 14%，T_act ≈ 25,000，α ≈ 0.0003。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 两个加速区间</w:t>
      </w:r>
    </w:p>
    <w:p>
      <w:pPr>
        <w:pBdr>
          <w:left w:val="single" w:color="E8913A" w:sz="6" w:space="8"/>
        </w:pBdr>
        <w:spacing w:before="100" w:after="10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2w5→3w：η_token 从 2.0% 跃升至 2.7%（卡诺效率从 60% 跃至 86%）</w:t>
      </w:r>
    </w:p>
    <w:p>
      <w:pPr>
        <w:pBdr>
          <w:left w:val="single" w:color="E8913A" w:sz="6" w:space="8"/>
        </w:pBdr>
        <w:spacing w:before="100" w:after="10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5w→10w：η_token 从 8.5% 跃升至 13.8%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η 在 10w 和 ∞ 之间趋于饱和，约 14%。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6. 多维行为探针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行为模式随预算增长经历三个阶段：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A6BB5"/>
          <w:sz w:val="22"/>
          <w:szCs w:val="22"/>
        </w:rPr>
        <w:t xml:space="preserve">第一阶段：探索主导期 (1w–1w5)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50%+ 的 token 花在搜索/读文件/导航上。Agent 还在“看题”。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A6BB5"/>
          <w:sz w:val="22"/>
          <w:szCs w:val="22"/>
        </w:rPr>
        <w:t xml:space="preserve">第二阶段：过渡期 (2w–2w5)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探索降到 ~20%，编辑和执行上升。Agent 开始“做题”。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A6BB5"/>
          <w:sz w:val="22"/>
          <w:szCs w:val="22"/>
        </w:rPr>
        <w:t xml:space="preserve">第三阶段：饱和期 (3w+)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探索稳定在 ~16%；submit 和 cleanup 占比持续增长。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6.1 探针指标总表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0"/>
        <w:gridCol w:w="985"/>
        <w:gridCol w:w="985"/>
        <w:gridCol w:w="985"/>
        <w:gridCol w:w="985"/>
        <w:gridCol w:w="985"/>
        <w:gridCol w:w="985"/>
        <w:gridCol w:w="985"/>
        <w:gridCol w:w="985"/>
      </w:tblGrid>
      <w:tr>
        <w:tc>
          <w:tcPr>
            <w:tcW w:type="dxa" w:w="14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探针</w:t>
            </w:r>
          </w:p>
        </w:tc>
        <w:tc>
          <w:tcPr>
            <w:tcW w:type="dxa" w:w="985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1w</w:t>
            </w:r>
          </w:p>
        </w:tc>
        <w:tc>
          <w:tcPr>
            <w:tcW w:type="dxa" w:w="985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1w5</w:t>
            </w:r>
          </w:p>
        </w:tc>
        <w:tc>
          <w:tcPr>
            <w:tcW w:type="dxa" w:w="985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2w</w:t>
            </w:r>
          </w:p>
        </w:tc>
        <w:tc>
          <w:tcPr>
            <w:tcW w:type="dxa" w:w="985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2w5</w:t>
            </w:r>
          </w:p>
        </w:tc>
        <w:tc>
          <w:tcPr>
            <w:tcW w:type="dxa" w:w="985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3w</w:t>
            </w:r>
          </w:p>
        </w:tc>
        <w:tc>
          <w:tcPr>
            <w:tcW w:type="dxa" w:w="985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5w</w:t>
            </w:r>
          </w:p>
        </w:tc>
        <w:tc>
          <w:tcPr>
            <w:tcW w:type="dxa" w:w="985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10w</w:t>
            </w:r>
          </w:p>
        </w:tc>
        <w:tc>
          <w:tcPr>
            <w:tcW w:type="dxa" w:w="985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∞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探索占比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51.5%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41.7%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28.9%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18.6%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21.2%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16.5%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15.7%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16.5%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执行占比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5.6%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6.0%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8.0%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9.4%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8.9%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9.2%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8.2%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8.0%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大输出占比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16.6%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12.1%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12.8%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13.7%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11.2%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10.2%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8.9%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7.8%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浪费事件率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3.4%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7.6%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11.3%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13.8%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14.2%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17.1%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16.8%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15.0%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上下文压力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6.4x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6.4x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7.3x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8.4x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8.7x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9.1x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9.3x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9.8x</w:t>
            </w:r>
          </w:p>
        </w:tc>
      </w:tr>
    </w:tbl>
    <w:p>
      <w:pPr>
        <w:pBdr>
          <w:left w:val="single" w:color="E0C8A0" w:sz="4" w:space="6"/>
        </w:pBdr>
        <w:spacing w:before="120" w:after="40"/>
        <w:ind w:left="180"/>
      </w:pPr>
      <w:r>
        <w:rPr>
          <w:rFonts w:ascii="Arial" w:cs="Arial" w:eastAsia="Arial" w:hAnsi="Arial"/>
          <w:b/>
          <w:bCs/>
          <w:color w:val="8B6914"/>
          <w:sz w:val="19"/>
          <w:szCs w:val="19"/>
        </w:rPr>
        <w:t xml:space="preserve">▶ 指标说明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探索占比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：Agent 花在搜索、读文件、导航等“了解问题”操作上的 token 占比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执行占比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：花在实际编辑代码、运行测试等“做事”操作上的 token 占比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大输出占比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：单步输出超过阈值的步骤占比——过高可能意味着“恰撒网”式的低效输出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浪费事件率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：被判定为纯浪费的步骤占比（格式错误、重复操作、无意义回溯）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上下文压力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：最终 prompt 长度 / 初始 prompt 长度的倍数。越高说明历史累积越严重，接近上下文窗口极限</w:t>
      </w:r>
    </w:p>
    <w:p>
      <w:pPr>
        <w:pBdr>
          <w:left w:val="single" w:color="E0C8A0" w:sz="4" w:space="6"/>
        </w:pBdr>
        <w:spacing w:before="10" w:after="120"/>
        <w:ind w:left="1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7. Token 去向分解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在高预算组 (10w/∞)，submit + cleanup 消耗了 30%+ 的 token——Agent 将近三分之一的预算花在了“提交和打扫”上。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900"/>
        <w:gridCol w:w="900"/>
        <w:gridCol w:w="4460"/>
      </w:tblGrid>
      <w:tr>
        <w:tc>
          <w:tcPr>
            <w:tcW w:type="dxa" w:w="13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动作类型</w:t>
            </w:r>
          </w:p>
        </w:tc>
        <w:tc>
          <w:tcPr>
            <w:tcW w:type="dxa" w:w="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1w</w:t>
            </w:r>
          </w:p>
        </w:tc>
        <w:tc>
          <w:tcPr>
            <w:tcW w:type="dxa" w:w="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2w5</w:t>
            </w:r>
          </w:p>
        </w:tc>
        <w:tc>
          <w:tcPr>
            <w:tcW w:type="dxa" w:w="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10w</w:t>
            </w:r>
          </w:p>
        </w:tc>
        <w:tc>
          <w:tcPr>
            <w:tcW w:type="dxa" w:w="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∞</w:t>
            </w:r>
          </w:p>
        </w:tc>
        <w:tc>
          <w:tcPr>
            <w:tcW w:type="dxa" w:w="44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submit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23.3%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24.1%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提交 patch + 提交后清理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no_action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37.1%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30.1%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19.7%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20.6%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纯思考 / 格式错误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edit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10.5%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20.4%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15.9%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12.6%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编辑代码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read_file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21.6%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18.5%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11.3%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11.6%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读取文件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navigate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15.5%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11.3%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10.8%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cd/ls 导航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cleanup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8.0%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rm/mv 清理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search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13.1%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8.6%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4.9%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grep/find 搜索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python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3.9%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运行验证脚本</w:t>
            </w:r>
          </w:p>
        </w:tc>
      </w:tr>
    </w:tbl>
    <w:p>
      <w:pPr>
        <w:pBdr>
          <w:left w:val="single" w:color="E0C8A0" w:sz="4" w:space="6"/>
        </w:pBdr>
        <w:spacing w:before="120" w:after="40"/>
        <w:ind w:left="180"/>
      </w:pPr>
      <w:r>
        <w:rPr>
          <w:rFonts w:ascii="Arial" w:cs="Arial" w:eastAsia="Arial" w:hAnsi="Arial"/>
          <w:b/>
          <w:bCs/>
          <w:color w:val="8B6914"/>
          <w:sz w:val="19"/>
          <w:szCs w:val="19"/>
        </w:rPr>
        <w:t xml:space="preserve">▶ 指标说明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submit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：生成并提交最终 patch 的操作，以及提交后的清理动作（删除临时文件、git reset 等）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no_action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：Agent 在思考但未产生可执行动作的步骤，或者输出格式错误导致无法解析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edit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：对源代码文件的实际编辑操作（str_replace、insert 等）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python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：Agent 主动运行 Python 脚本来验证假设或测试修改结果</w:t>
      </w:r>
    </w:p>
    <w:p>
      <w:pPr>
        <w:pBdr>
          <w:left w:val="single" w:color="E0C8A0" w:sz="4" w:space="6"/>
        </w:pBdr>
        <w:spacing w:before="10" w:after="120"/>
        <w:ind w:left="1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8. 冗余分析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冗余验证探针（可用于 2w5、10w、∞ 三组）揭示：高预算组约 20% 的 token 是可显式追溯的纯浪费，来自三大源头。但这很可能是下界估计：探针未捕捉“隐式冗余”——即 Agent 在错误路径上的所有工作（编辑了错误的文件、写了后来被覆盖的代码）。这些在分类中被记为 edit 操作，但实际上是浪费。加上这部分，真实冗余率可能在 30–40%。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8.1 冗余细分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20"/>
        <w:gridCol w:w="2220"/>
        <w:gridCol w:w="2220"/>
      </w:tblGrid>
      <w:tr>
        <w:tc>
          <w:tcPr>
            <w:tcW w:type="dxa" w:w="27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冗余类型</w:t>
            </w:r>
          </w:p>
        </w:tc>
        <w:tc>
          <w:tcPr>
            <w:tcW w:type="dxa" w:w="22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2w5</w:t>
            </w:r>
          </w:p>
        </w:tc>
        <w:tc>
          <w:tcPr>
            <w:tcW w:type="dxa" w:w="22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10w</w:t>
            </w:r>
          </w:p>
        </w:tc>
        <w:tc>
          <w:tcPr>
            <w:tcW w:type="dxa" w:w="22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∞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post-submit（提交后浪费）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25,807 tok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542,318 tok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626,358 tok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文件重读（无意义）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次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 次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 次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文件重读（合理）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文件重读 token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63,291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105,444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107,988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git 焦虑检查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次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 次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 次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git 检查 token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3,435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136,936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122,666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重复 python 验证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次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次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次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冗余总 token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114,557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810,967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889,736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冗余占总 token %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4.9%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19.6%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20.1%</w:t>
            </w:r>
          </w:p>
        </w:tc>
      </w:tr>
    </w:tbl>
    <w:p>
      <w:pPr>
        <w:pBdr>
          <w:left w:val="single" w:color="E0C8A0" w:sz="4" w:space="6"/>
        </w:pBdr>
        <w:spacing w:before="120" w:after="40"/>
        <w:ind w:left="180"/>
      </w:pPr>
      <w:r>
        <w:rPr>
          <w:rFonts w:ascii="Arial" w:cs="Arial" w:eastAsia="Arial" w:hAnsi="Arial"/>
          <w:b/>
          <w:bCs/>
          <w:color w:val="8B6914"/>
          <w:sz w:val="19"/>
          <w:szCs w:val="19"/>
        </w:rPr>
        <w:t xml:space="preserve">▶ 指标说明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post-submit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：Agent 在提交最终答案后仍继续执行的操作（删除临时文件、git reset、清理环境）——这些对结果零贡献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文件重读（无意义）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：紧邻步骤再次读取刚读过的同一文件，且中间无修改——占无意义重读的 80%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git 焦虑检查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：Agent 反复执行 git diff、git status 来确认修改状态——即使上一步刚刚做过相同检查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重复 python 验证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：对同一测试多次运行且无代码变更</w:t>
      </w:r>
    </w:p>
    <w:p>
      <w:pPr>
        <w:pBdr>
          <w:left w:val="single" w:color="E0C8A0" w:sz="4" w:space="6"/>
        </w:pBdr>
        <w:spacing w:before="10" w:after="120"/>
        <w:ind w:left="1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8.2 三大冗余源（10w/∞ 组）</w:t>
      </w:r>
    </w:p>
    <w:p>
      <w:pPr>
        <w:pBdr>
          <w:left w:val="single" w:color="E8913A" w:sz="6" w:space="8"/>
        </w:pBdr>
        <w:spacing w:before="100" w:after="10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post-submit 清理：占冗余的 ~67%——Agent 提交后仍在 rm 临时文件、git reset</w:t>
      </w:r>
    </w:p>
    <w:p>
      <w:pPr>
        <w:pBdr>
          <w:left w:val="single" w:color="E8913A" w:sz="6" w:space="8"/>
        </w:pBdr>
        <w:spacing w:before="100" w:after="10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 反复检查：占冗余的 ~15%——焦虑性的 git diff / git status 确认</w:t>
      </w:r>
    </w:p>
    <w:p>
      <w:pPr>
        <w:pBdr>
          <w:left w:val="single" w:color="E8913A" w:sz="6" w:space="8"/>
        </w:pBdr>
        <w:spacing w:before="100" w:after="10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文件重读：占冗余的 ~12%——80% 是紧邻无意义重读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9. 与论文预测的系统性映射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✅ 验证 1：非线性相变存在 (§2.2)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论文预测：token 量级与能力之间存在非线性相变。实测结果：完美的 S 型曲线。相变发生在 2–3×10⁴ token，而非整数量级边界。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✅ 验证 2：认知卡诺效率 η ≈ 5–15% (§4.1)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实测 η_token 饱和值：13.8–14.1%，精确落在论文预测区间内。但将 η 视为常数是不对的——它是 T 的 sigmoid 函数。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✅ 验证 3：耗散来源分解 (§4.1)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3160"/>
        <w:gridCol w:w="2500"/>
      </w:tblGrid>
      <w:tr>
        <w:tc>
          <w:tcPr>
            <w:tcW w:type="dxa" w:w="2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论文预测</w:t>
            </w:r>
          </w:p>
        </w:tc>
        <w:tc>
          <w:tcPr>
            <w:tcW w:type="dxa" w:w="1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预测占比</w:t>
            </w:r>
          </w:p>
        </w:tc>
        <w:tc>
          <w:tcPr>
            <w:tcW w:type="dxa" w:w="31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实测对应</w:t>
            </w:r>
          </w:p>
        </w:tc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实测值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重复读取上下文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25–40%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output 仅占 0.8%；99.2% 是 input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~99%（远超预期）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错误→回溯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15–30%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浪费事件率 + 摩擦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15.0% 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冗余验证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5–15%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redundancy_verification 探针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20.1%（超出上界）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有效功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5–15%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η_token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14.1% ✅</w:t>
            </w:r>
          </w:p>
        </w:tc>
      </w:tr>
    </w:tbl>
    <w:p>
      <w:pPr>
        <w:pBdr>
          <w:left w:val="single" w:color="E0C8A0" w:sz="4" w:space="6"/>
        </w:pBdr>
        <w:spacing w:before="120" w:after="40"/>
        <w:ind w:left="180"/>
      </w:pPr>
      <w:r>
        <w:rPr>
          <w:rFonts w:ascii="Arial" w:cs="Arial" w:eastAsia="Arial" w:hAnsi="Arial"/>
          <w:b/>
          <w:bCs/>
          <w:color w:val="8B6914"/>
          <w:sz w:val="19"/>
          <w:szCs w:val="19"/>
        </w:rPr>
        <w:t xml:space="preserve">▶ 指标说明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重复读取上下文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：SWE-agent 架构下，每一步都要把完整对话历史重新发送给模型，导致绝大多数 token 是输入而非输出。这是架构层面最大的浪费源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有效功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：类比热力学中的有用功——真正导向解决方案的 token 消耗，而非摩擦损耗（探索、回溯、冗余）</w:t>
      </w:r>
    </w:p>
    <w:p>
      <w:pPr>
        <w:pBdr>
          <w:left w:val="single" w:color="E0C8A0" w:sz="4" w:space="6"/>
        </w:pBdr>
        <w:spacing w:before="10" w:after="120"/>
        <w:ind w:left="1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量化结果：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99%+ 的 token 是 input 这一事实是 SWE-agent 架构的已知特性（stateless conversation loop，每步重发完整历史），而非本实验的“新发现”。本实验的贡献在于精确量化了这一损耗的具体比例，发现远超论文预估的 25–40%。这是架构层面最大的优化空间——但需注意这是 SWE-agent 特定架构下的结果，其他 Agent 架构可能不同。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✅ 验证 4：搜索:解 比率 (§3.2.2)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论文预测分布内任务 10²:1 到 10⁴:1。实测：54:1 (1w) 到 273:1 (∞)，稳定在 10² 区间，符合预测。比率随预算增长——更多预算允许更多低效探索。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✅ 验证 5：质量退化模型需修正 (§5.5)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论文模型 Q ∝ e^(-Tε/C) 预测平滑指数衰减。实测显示 1w→2w5 是陡峭的 S 型跃升，而非指数衰减。且 10w 的 Q/Q₀ &gt; 1（超过基线）。建议修正为 sigmoid + 噪声模型。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⭐ 新发现 6：预算约束的正则化效应（方向性证据）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10w 与 ∞ 的解决率差异未达统计显著（∔15 题，p &gt; 0.3），但冗余分析显示无限预算组存在系统性浪费（post-submit 多 84K token、更多 git 焦虑检查）。这暗示预算约束可能充当隐式正则化器。建议在 §4 探讨“认知帕金森定律”假说，并在更大样本量和多 Agent 架构上验证。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⭐ 新发现 7：η(T) 激活曲线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η 不是常数，而是带有认知激活能 T_act ≈ 25,000 的 sigmoid 函数。低于 T_act 时 η 崩溃到 &lt;1%。建议在 §4.1 增加 η(T) 模型。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✅ 验证 8：上下文窗口 vs 总 Token (§6.4)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上下文压力指数从 6.4x (1w) 增长到 9.8x (∞)——最终 prompt 接近初始 prompt 的 10 倍。output 仅占 0.8%。直接证实了 §6.4：瓶颈不是生成能力，而是每步重新读取不断增长的历史的代价。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10. 对 10⁹+ 大尺度架构的启示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05020"/>
          <w:sz w:val="20"/>
          <w:szCs w:val="20"/>
        </w:rPr>
        <w:t xml:space="preserve">重要范围限定：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以下均为基于单一 Agent（SWE-agent）在单一 benchmark（SWE-bench verified 的 83 个子问题）上的 10⁴ 尺度实验推导的假说，而非经验证实的普遍定律。其他 Agent 架构（如 Devin、OpenHands）可能展现不同行为模式。如能在多个 Agent 上复现 S 型曲线和帕金森效应，论文的 claim 会强得多。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实验在 10⁴ 尺度上揭示了四条经验规律，我们假说它们可能在更大尺度上仍然成立，但这些外推需要进一步验证。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10.1 规律 1：η(T) 存在激活能和饱和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调度 10⁹ token 做科学发现时，总能力 ≠ 10⁹ × 14%。每个子任务都有自己的 T_act。如果子任务切得太碎（每个分到的 token &lt; T_act），η 会崩溃到接近 0。这直接对应论文 §5.5 的 ε 杠杆：分解策略对总效率有指数级影响。但需注意，T_act 与任务复杂度的关系可能是超线性的（而非线性），这会显著影响外推。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10.2 规律 2：认知帕金森定律（假说）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冗余分析显示无约束的 Agent 会：反复验证已确认的结论，在提交后做大量无意义清理，在错误路径上越陷越深。这暗示大尺度系统可能需要内建“预算压力”机制——不是限制总量，而是给每个子阶段设置 deadline。但注意，部分冗余行为（如 git 焦虑检查、post-submit 清理）可能是 SWE-agent 的 system prompt 或工具设计导致的特定行为，换一个 Agent 可能不同。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10.3 规律 3：当前架构下 99% 的 Token 是历史重读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output 仅占 0.8%，99.2% 是 input。这是 SWE-agent stateless conversation loop 架构的已知特性。当 T = 10⁹ 且 C = 10⁵ 时，分页次数 N = 10⁴。即使 ε = 0.001（极低损失），Q = e^(-10) ≈ 0.00005，质量几乎归零。这说明当前“把全部历史塞进 prompt”的架构范式在原理上不可能扩展到 10⁹——但任何认真做大尺度的系统也不会用这种架构。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10.4 规律 4：相变是 Sigmoid 而非阶跃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解决率随预算呈平滑 S 型曲线，而非突然跳变。每类子能力有自己的 sigmoid 激活曲线，它们叠加后在宏观上看起来像阶跃。这意味着不需要等到“攒够”一个量级的 token 才能做事，可以通过精细分解让每个子任务落在其 sigmoid 的饱和区。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11. 架构设计建议（受实验启发的设计假说）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以下建议是基于 10⁴ 尺度实验观察的设计推测，尚未经过实验验证。其有效性取决于多个未验证的假设（如摘要压缩的信息损失是可控的）。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11.1 分层状态管理（对应规律 3）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当前架构的致命缺陷是“扁平历史”——所有步骤的信息在同一个 prompt 里线性堆积。大尺度架构需要分层状态：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L3: 战略层 (Mission State)     ← 极少更新，~1K token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  “我们在做什么，为什么，当前在哪个阶段”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L2: 战术层 (Working Memory)    ← 每阶段更新，~10K token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  “当前子任务的上下文、已知约束、待验证假说”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L1: 操作层 (Action Context)    ← 每步更新，~50K token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  “当前正在编辑的文件、最近几步的操作和结果”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每步只需 L1 + L2 摘要 + L3 摘要 ≈ 60K token，而非全部历史。理论上可将 N = T/C 从 10⁴ 降到 ~10²，质量退化从 e^(-10) 变为 e^(-0.1) ≈ 0.9。但这一估计依赖于“摘要压缩不损失关键信息”的假设——实际上，state compression 的信息损失可能是显著的，特别是对需要精确回忆的任务（如“第 347 步发现的 edge case 在第 892 步变得关键”）。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实验支持：上下文压力在 ~10 步内就从 6.4x 增长到 9.8x。分层管理可将压力控制在 2–3x。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11.2 子任务预算信封（对应规律 2）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不要给 Agent 一个总预算然后任其自由分配。应执行每阶段预算信封：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总预算: 10⁹ tokens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├─ 阶段 1: 问题理解与分解     1% (10⁷)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├─ 阶段 2: 子任务执行          80% (8×10⁸)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│   ├─ 子任务 A: 3×10⁵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│   ├─ 子任务 B: 5×10⁵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│   └─ ...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├─ 阶段 3: 集成与验证          10% (10⁸)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└─ 阶段 4: 文档与交付          9% (9×10⁷)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实验证明：每个子任务 ~3×T_act 的预算是最优的（3w 是 SWE-bench 的甜点）。低于 T_act 效率崩溃，高于 3×T_act 帕金森膨胀开始。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11.3 自动化冗余消除（解决 20% 浪费）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在 10⁹ 尺度上，20% 冗余意味着 2×10⁸ token 的浪费。三个可自动消除的冗余源：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冗余类型</w:t>
            </w:r>
          </w:p>
        </w:tc>
        <w:tc>
          <w:tcPr>
            <w:tcW w:type="dxa" w:w="45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消除方案</w:t>
            </w:r>
          </w:p>
        </w:tc>
        <w:tc>
          <w:tcPr>
            <w:tcW w:type="dxa" w:w="24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预期节省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post-submit 清理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提交时自动清理临时文件；提交后截断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~13%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紧邻文件重读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在 prompt 中缓存最近读过的文件内容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git 焦虑检查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每次 edit 后自动附加 diff 摘要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~3%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合计可省 ~19%，等效于将 η 从 14% 提升到 17%——零成本的 21% 效率提升。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11.4 验证驱动的分解（论文 §4.2 + §5.6）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SWE-bench 任务属于 Tier 1（可自动验证：测试套件）。实测卡诺效率在 3w+ 达到 86–94%，说明当验证信号存在时，Agent 几乎不会在“有效功 vs 摩擦”之间犯错。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对于科学发现（大多是 Tier 2–3），η 会远低于 14%。架构的核心工作是把 Tier 3 任务分解成 Tier 1 子任务链：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科学发现 (Tier 3, η 可能 &lt; 1%)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├─ 文献综述 → 结构化知识图 (Tier 1: 可验证完整性/一致性)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├─ 假说生成 → 可证伪预测 (Tier 2: 可模拟验证)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├─ 实验设计 → 可执行代码 (Tier 1: 可运行验证)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├─ 数据分析 → 统计检验 (Tier 1: p-value 验证)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└─ 论文写作 → 逻辑一致性检查 (Tier 1/2)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每个子任务都有自己的验证器，可保持 η 在 10%+ 而非整体的 &lt;1%。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12. 总结与论文更新建议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12.1 实验核心结论</w:t>
      </w:r>
    </w:p>
    <w:p>
      <w:pPr>
        <w:pBdr>
          <w:left w:val="single" w:color="E8913A" w:sz="6" w:space="8"/>
        </w:pBdr>
        <w:spacing w:before="100" w:after="10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 万 token 是性价比甜点：61,154 tok/题，解决率 51.8%，花费仅 $1.23。</w:t>
      </w:r>
    </w:p>
    <w:p>
      <w:pPr>
        <w:pBdr>
          <w:left w:val="single" w:color="E8913A" w:sz="6" w:space="8"/>
        </w:pBdr>
        <w:spacing w:before="100" w:after="10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2w5 达到最高边际效率：每多花 40,987 token 多解决一道题。</w:t>
      </w:r>
    </w:p>
    <w:p>
      <w:pPr>
        <w:pBdr>
          <w:left w:val="single" w:color="E8913A" w:sz="6" w:space="8"/>
        </w:pBdr>
        <w:spacing w:before="100" w:after="10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10w 与 ∞ 解决率无显著差异 (59.0% vs 56.6%, p &gt; 0.3)，但冗余模式差异暗示预算约束可能具有正则化效应。</w:t>
      </w:r>
    </w:p>
    <w:p>
      <w:pPr>
        <w:pBdr>
          <w:left w:val="single" w:color="E8913A" w:sz="6" w:space="8"/>
        </w:pBdr>
        <w:spacing w:before="100" w:after="10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≥ 20% 的 token 是可显式追溯的冗余（下界估计）：post-submit 清理 + git 焦虑检查 + 无意义重读。加上隐式冗余（错误路径上的工作），真实冗余可能在 30–40%。</w:t>
      </w:r>
    </w:p>
    <w:p>
      <w:pPr>
        <w:pBdr>
          <w:left w:val="single" w:color="E8913A" w:sz="6" w:space="8"/>
        </w:pBdr>
        <w:spacing w:before="100" w:after="10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99% 的 token 是 input（历史重读）：这是 SWE-agent 架构的已知特性，本实验量化了其具体比例，是架构层面最大的优化空间。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12.2 论文更新建议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论文章节</w:t>
            </w:r>
          </w:p>
        </w:tc>
        <w:tc>
          <w:tcPr>
            <w:tcW w:type="dxa" w:w="65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建议更新内容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§2.2 相变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加入实测 S 型曲线；相变在 2–3×10⁴ 而非整数量级边界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§4.1 η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η 不是常数；建模为 T 的 sigmoid 函数，存在激活能 T_act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§4.1 耗散表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“重复读取上下文”在 SWE-agent 架构下实测 99%，远超预估的 25–40%（注：架构特定）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§4.1（新增）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探讨“认知帕金森定律”假说——预算约束的正则化效应（方向性证据，待更大样本验证）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§5.5 退化模型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Q(T) 是 sigmoid 而非指数衰减；需修正公式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§5.5（新增）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冗余验证的细粒度分解：post-submit / 重读 / git 焦虑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Token 预算实验 — 完整分析报告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6B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2026-03-09T07:16:07.351Z</dcterms:created>
  <dcterms:modified xsi:type="dcterms:W3CDTF">2026-03-09T07:16:07.352Z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