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B50" w:rsidRDefault="0001350C">
      <w:pPr>
        <w:rPr>
          <w:sz w:val="36"/>
          <w:szCs w:val="36"/>
        </w:rPr>
      </w:pPr>
      <w:r w:rsidRPr="00A01C9F">
        <w:rPr>
          <w:rFonts w:hint="eastAsia"/>
          <w:sz w:val="36"/>
          <w:szCs w:val="36"/>
        </w:rPr>
        <w:t>第四章</w:t>
      </w:r>
    </w:p>
    <w:p w:rsidR="00E27D68" w:rsidRPr="005E5344" w:rsidRDefault="00E27D68" w:rsidP="0001350C">
      <w:pPr>
        <w:rPr>
          <w:b/>
        </w:rPr>
      </w:pPr>
      <w:r w:rsidRPr="005E5344">
        <w:rPr>
          <w:rFonts w:hint="eastAsia"/>
          <w:b/>
        </w:rPr>
        <w:t>前言</w:t>
      </w:r>
      <w:r w:rsidRPr="005E5344">
        <w:rPr>
          <w:rFonts w:hint="eastAsia"/>
          <w:b/>
        </w:rPr>
        <w:t>:</w:t>
      </w:r>
    </w:p>
    <w:p w:rsidR="00A01C9F" w:rsidRDefault="0001350C" w:rsidP="0001350C">
      <w:pPr>
        <w:rPr>
          <w:sz w:val="28"/>
          <w:szCs w:val="28"/>
        </w:rPr>
      </w:pPr>
      <w:r>
        <w:tab/>
      </w:r>
      <w:r w:rsidRPr="00A01C9F">
        <w:rPr>
          <w:rFonts w:hint="eastAsia"/>
          <w:sz w:val="28"/>
          <w:szCs w:val="28"/>
        </w:rPr>
        <w:t>我們透過關聯式分析來了解</w:t>
      </w:r>
      <w:r w:rsidRPr="00A01C9F">
        <w:rPr>
          <w:rFonts w:hint="eastAsia"/>
          <w:sz w:val="28"/>
          <w:szCs w:val="28"/>
        </w:rPr>
        <w:t>X</w:t>
      </w:r>
      <w:r w:rsidRPr="00A01C9F">
        <w:rPr>
          <w:rFonts w:hint="eastAsia"/>
          <w:sz w:val="28"/>
          <w:szCs w:val="28"/>
        </w:rPr>
        <w:t>證券商最賺錢的交易人與其他條件交易的相關性，這個基礎是建立在假設該交易人為絕對正確的前提下</w:t>
      </w:r>
      <w:r w:rsidRPr="00A01C9F">
        <w:rPr>
          <w:rFonts w:hint="eastAsia"/>
          <w:sz w:val="28"/>
          <w:szCs w:val="28"/>
        </w:rPr>
        <w:t>(</w:t>
      </w:r>
      <w:r w:rsidRPr="00A01C9F">
        <w:rPr>
          <w:rFonts w:hint="eastAsia"/>
          <w:sz w:val="28"/>
          <w:szCs w:val="28"/>
        </w:rPr>
        <w:t>所有交易皆是正收益</w:t>
      </w:r>
      <w:r w:rsidRPr="00A01C9F">
        <w:rPr>
          <w:rFonts w:hint="eastAsia"/>
          <w:sz w:val="28"/>
          <w:szCs w:val="28"/>
        </w:rPr>
        <w:t>)</w:t>
      </w:r>
      <w:r w:rsidRPr="00A01C9F">
        <w:rPr>
          <w:rFonts w:hint="eastAsia"/>
          <w:sz w:val="28"/>
          <w:szCs w:val="28"/>
        </w:rPr>
        <w:t>，並以普遍交易大眾的認知做為結果好壞的判斷</w:t>
      </w:r>
      <w:r w:rsidR="00D97084">
        <w:rPr>
          <w:rFonts w:hint="eastAsia"/>
          <w:sz w:val="28"/>
          <w:szCs w:val="28"/>
        </w:rPr>
        <w:t>；</w:t>
      </w:r>
      <w:r w:rsidRPr="00A01C9F">
        <w:rPr>
          <w:rFonts w:hint="eastAsia"/>
          <w:sz w:val="28"/>
          <w:szCs w:val="28"/>
        </w:rPr>
        <w:t>若結果為非顯著，也視為是</w:t>
      </w:r>
      <w:r w:rsidR="00A01C9F" w:rsidRPr="00A01C9F">
        <w:rPr>
          <w:rFonts w:hint="eastAsia"/>
          <w:sz w:val="28"/>
          <w:szCs w:val="28"/>
        </w:rPr>
        <w:t>不好的分析結果。</w:t>
      </w:r>
    </w:p>
    <w:p w:rsidR="005E5344" w:rsidRPr="005E5344" w:rsidRDefault="005E5344" w:rsidP="0001350C">
      <w:pPr>
        <w:rPr>
          <w:b/>
          <w:sz w:val="28"/>
          <w:szCs w:val="28"/>
        </w:rPr>
      </w:pPr>
      <w:r w:rsidRPr="005E5344">
        <w:rPr>
          <w:rFonts w:hint="eastAsia"/>
          <w:b/>
          <w:sz w:val="28"/>
          <w:szCs w:val="28"/>
        </w:rPr>
        <w:t>資料來源</w:t>
      </w:r>
      <w:r>
        <w:rPr>
          <w:rFonts w:hint="eastAsia"/>
          <w:b/>
          <w:sz w:val="28"/>
          <w:szCs w:val="28"/>
        </w:rPr>
        <w:t>與處理</w:t>
      </w:r>
      <w:r w:rsidRPr="005E5344">
        <w:rPr>
          <w:rFonts w:hint="eastAsia"/>
          <w:b/>
          <w:sz w:val="28"/>
          <w:szCs w:val="28"/>
        </w:rPr>
        <w:t>:</w:t>
      </w:r>
    </w:p>
    <w:p w:rsidR="005E5344" w:rsidRPr="00C83474" w:rsidRDefault="005E5344" w:rsidP="0001350C">
      <w:pPr>
        <w:rPr>
          <w:sz w:val="28"/>
          <w:szCs w:val="28"/>
        </w:rPr>
      </w:pPr>
    </w:p>
    <w:p w:rsidR="00C83474" w:rsidRDefault="00C83474" w:rsidP="0001350C">
      <w:pPr>
        <w:tabs>
          <w:tab w:val="left" w:pos="5385"/>
        </w:tabs>
      </w:pPr>
      <w:r w:rsidRPr="00D97084">
        <w:rPr>
          <w:rFonts w:hint="eastAsia"/>
          <w:b/>
        </w:rPr>
        <w:t>分析方式</w:t>
      </w:r>
      <w:r w:rsidRPr="00D97084">
        <w:rPr>
          <w:rFonts w:hint="eastAsia"/>
          <w:b/>
        </w:rPr>
        <w:t>:</w:t>
      </w:r>
      <w:r>
        <w:rPr>
          <w:rFonts w:hint="eastAsia"/>
        </w:rPr>
        <w:t>E</w:t>
      </w:r>
      <w:r>
        <w:t>xcel</w:t>
      </w:r>
      <w:r>
        <w:rPr>
          <w:rFonts w:hint="eastAsia"/>
        </w:rPr>
        <w:t>資料分析</w:t>
      </w:r>
      <w:r>
        <w:rPr>
          <w:rFonts w:hint="eastAsia"/>
        </w:rPr>
        <w:t>-</w:t>
      </w:r>
      <w:r>
        <w:rPr>
          <w:rFonts w:hint="eastAsia"/>
        </w:rPr>
        <w:t>關聯分析</w:t>
      </w:r>
    </w:p>
    <w:p w:rsidR="00C83474" w:rsidRDefault="00D97084" w:rsidP="0001350C">
      <w:pPr>
        <w:tabs>
          <w:tab w:val="left" w:pos="5385"/>
        </w:tabs>
      </w:pPr>
      <w:r w:rsidRPr="00D97084">
        <w:rPr>
          <w:rFonts w:hint="eastAsia"/>
          <w:b/>
        </w:rPr>
        <w:t>主要</w:t>
      </w:r>
      <w:r w:rsidR="00C83474" w:rsidRPr="00D97084">
        <w:rPr>
          <w:rFonts w:hint="eastAsia"/>
          <w:b/>
        </w:rPr>
        <w:t>樣本</w:t>
      </w:r>
      <w:r w:rsidR="00C83474" w:rsidRPr="00D97084">
        <w:rPr>
          <w:rFonts w:hint="eastAsia"/>
          <w:b/>
        </w:rPr>
        <w:t>:</w:t>
      </w:r>
      <w:r w:rsidR="00C83474" w:rsidRPr="00C83474">
        <w:rPr>
          <w:rFonts w:hint="eastAsia"/>
        </w:rPr>
        <w:t xml:space="preserve"> </w:t>
      </w:r>
      <w:r w:rsidR="00C83474">
        <w:rPr>
          <w:rFonts w:hint="eastAsia"/>
        </w:rPr>
        <w:t>大盤買賣超、</w:t>
      </w:r>
      <w:r>
        <w:rPr>
          <w:rFonts w:hint="eastAsia"/>
        </w:rPr>
        <w:t>三大法人</w:t>
      </w:r>
      <w:r>
        <w:rPr>
          <w:rFonts w:hint="eastAsia"/>
        </w:rPr>
        <w:t>(</w:t>
      </w:r>
      <w:r>
        <w:rPr>
          <w:rFonts w:hint="eastAsia"/>
        </w:rPr>
        <w:t>合計</w:t>
      </w:r>
      <w:r>
        <w:rPr>
          <w:rFonts w:hint="eastAsia"/>
        </w:rPr>
        <w:t>)</w:t>
      </w:r>
      <w:r>
        <w:rPr>
          <w:rFonts w:hint="eastAsia"/>
        </w:rPr>
        <w:t>買賣超</w:t>
      </w:r>
      <w:r w:rsidR="00C83474">
        <w:rPr>
          <w:rFonts w:hint="eastAsia"/>
        </w:rPr>
        <w:t>、</w:t>
      </w:r>
      <w:r w:rsidRPr="00C83474">
        <w:rPr>
          <w:rFonts w:hint="eastAsia"/>
        </w:rPr>
        <w:t>那斯達克</w:t>
      </w:r>
      <w:r w:rsidR="00C83474">
        <w:rPr>
          <w:rFonts w:hint="eastAsia"/>
        </w:rPr>
        <w:t>、黃金價格、石油價格、美元匯率</w:t>
      </w:r>
    </w:p>
    <w:p w:rsidR="00D97084" w:rsidRPr="00D97084" w:rsidRDefault="00D97084" w:rsidP="0001350C">
      <w:pPr>
        <w:tabs>
          <w:tab w:val="left" w:pos="5385"/>
        </w:tabs>
        <w:rPr>
          <w:b/>
        </w:rPr>
      </w:pPr>
      <w:r w:rsidRPr="00D97084">
        <w:rPr>
          <w:rFonts w:hint="eastAsia"/>
          <w:b/>
        </w:rPr>
        <w:t>分別計算</w:t>
      </w:r>
      <w:r w:rsidRPr="00D97084">
        <w:rPr>
          <w:rFonts w:hint="eastAsia"/>
          <w:b/>
        </w:rPr>
        <w:t>:</w:t>
      </w:r>
    </w:p>
    <w:p w:rsidR="00D97084" w:rsidRDefault="00D97084" w:rsidP="0001350C">
      <w:pPr>
        <w:tabs>
          <w:tab w:val="left" w:pos="5385"/>
        </w:tabs>
      </w:pPr>
      <w:r>
        <w:rPr>
          <w:rFonts w:hint="eastAsia"/>
        </w:rPr>
        <w:t>大盤買賣超</w:t>
      </w:r>
      <w:r>
        <w:rPr>
          <w:rFonts w:hint="eastAsia"/>
        </w:rPr>
        <w:t>:</w:t>
      </w:r>
      <w:r>
        <w:rPr>
          <w:rFonts w:hint="eastAsia"/>
        </w:rPr>
        <w:t>附圖</w:t>
      </w:r>
      <w:r>
        <w:t>…</w:t>
      </w:r>
      <w:proofErr w:type="gramStart"/>
      <w:r>
        <w:t>……</w:t>
      </w:r>
      <w:proofErr w:type="gramEnd"/>
    </w:p>
    <w:p w:rsidR="00D97084" w:rsidRDefault="00D97084" w:rsidP="0001350C">
      <w:pPr>
        <w:tabs>
          <w:tab w:val="left" w:pos="5385"/>
        </w:tabs>
      </w:pPr>
      <w:r>
        <w:rPr>
          <w:rFonts w:hint="eastAsia"/>
        </w:rPr>
        <w:t>三大法人</w:t>
      </w:r>
      <w:r>
        <w:rPr>
          <w:rFonts w:hint="eastAsia"/>
        </w:rPr>
        <w:t>(</w:t>
      </w:r>
      <w:r>
        <w:rPr>
          <w:rFonts w:hint="eastAsia"/>
        </w:rPr>
        <w:t>合計</w:t>
      </w:r>
      <w:r>
        <w:rPr>
          <w:rFonts w:hint="eastAsia"/>
        </w:rPr>
        <w:t>)</w:t>
      </w:r>
      <w:r>
        <w:rPr>
          <w:rFonts w:hint="eastAsia"/>
        </w:rPr>
        <w:t>買賣超</w:t>
      </w:r>
      <w:r>
        <w:rPr>
          <w:rFonts w:hint="eastAsia"/>
        </w:rPr>
        <w:t>:</w:t>
      </w:r>
    </w:p>
    <w:p w:rsidR="00D97084" w:rsidRDefault="00D97084" w:rsidP="0001350C">
      <w:pPr>
        <w:tabs>
          <w:tab w:val="left" w:pos="5385"/>
        </w:tabs>
      </w:pPr>
      <w:r w:rsidRPr="00C83474">
        <w:rPr>
          <w:rFonts w:hint="eastAsia"/>
        </w:rPr>
        <w:t>那斯達克</w:t>
      </w:r>
      <w:r>
        <w:rPr>
          <w:rFonts w:hint="eastAsia"/>
        </w:rPr>
        <w:t>:</w:t>
      </w:r>
    </w:p>
    <w:p w:rsidR="00D97084" w:rsidRDefault="00D97084" w:rsidP="0001350C">
      <w:pPr>
        <w:tabs>
          <w:tab w:val="left" w:pos="5385"/>
        </w:tabs>
      </w:pPr>
      <w:r>
        <w:rPr>
          <w:rFonts w:hint="eastAsia"/>
        </w:rPr>
        <w:t>黃金價格</w:t>
      </w:r>
      <w:r>
        <w:rPr>
          <w:rFonts w:hint="eastAsia"/>
        </w:rPr>
        <w:t>:</w:t>
      </w:r>
    </w:p>
    <w:p w:rsidR="00D97084" w:rsidRDefault="00D97084" w:rsidP="0001350C">
      <w:pPr>
        <w:tabs>
          <w:tab w:val="left" w:pos="5385"/>
        </w:tabs>
      </w:pPr>
      <w:r>
        <w:rPr>
          <w:rFonts w:hint="eastAsia"/>
        </w:rPr>
        <w:t>石油價格</w:t>
      </w:r>
      <w:r>
        <w:rPr>
          <w:rFonts w:hint="eastAsia"/>
        </w:rPr>
        <w:t>:</w:t>
      </w:r>
    </w:p>
    <w:p w:rsidR="00D97084" w:rsidRDefault="00D97084" w:rsidP="0001350C">
      <w:pPr>
        <w:tabs>
          <w:tab w:val="left" w:pos="5385"/>
        </w:tabs>
      </w:pPr>
      <w:r>
        <w:rPr>
          <w:rFonts w:hint="eastAsia"/>
        </w:rPr>
        <w:t>美元匯率</w:t>
      </w:r>
      <w:r>
        <w:rPr>
          <w:rFonts w:hint="eastAsia"/>
        </w:rPr>
        <w:t>:</w:t>
      </w:r>
    </w:p>
    <w:p w:rsidR="003C6E6D" w:rsidRDefault="003C6E6D" w:rsidP="0001350C">
      <w:pPr>
        <w:tabs>
          <w:tab w:val="left" w:pos="5385"/>
        </w:tabs>
      </w:pPr>
    </w:p>
    <w:p w:rsidR="003C6E6D" w:rsidRDefault="003C6E6D" w:rsidP="0001350C">
      <w:pPr>
        <w:tabs>
          <w:tab w:val="left" w:pos="5385"/>
        </w:tabs>
      </w:pPr>
    </w:p>
    <w:p w:rsidR="003C6E6D" w:rsidRDefault="003C6E6D" w:rsidP="0001350C">
      <w:pPr>
        <w:tabs>
          <w:tab w:val="left" w:pos="5385"/>
        </w:tabs>
      </w:pPr>
    </w:p>
    <w:p w:rsidR="003C6E6D" w:rsidRDefault="003C6E6D" w:rsidP="0001350C">
      <w:pPr>
        <w:tabs>
          <w:tab w:val="left" w:pos="5385"/>
        </w:tabs>
      </w:pPr>
    </w:p>
    <w:p w:rsidR="003C6E6D" w:rsidRDefault="003C6E6D" w:rsidP="0001350C">
      <w:pPr>
        <w:tabs>
          <w:tab w:val="left" w:pos="5385"/>
        </w:tabs>
      </w:pPr>
    </w:p>
    <w:p w:rsidR="003C6E6D" w:rsidRDefault="003C6E6D" w:rsidP="0001350C">
      <w:pPr>
        <w:tabs>
          <w:tab w:val="left" w:pos="5385"/>
        </w:tabs>
      </w:pPr>
    </w:p>
    <w:p w:rsidR="003C6E6D" w:rsidRDefault="003C6E6D" w:rsidP="0001350C">
      <w:pPr>
        <w:tabs>
          <w:tab w:val="left" w:pos="5385"/>
        </w:tabs>
      </w:pPr>
    </w:p>
    <w:p w:rsidR="003C6E6D" w:rsidRDefault="003C6E6D" w:rsidP="0001350C">
      <w:pPr>
        <w:tabs>
          <w:tab w:val="left" w:pos="5385"/>
        </w:tabs>
      </w:pPr>
    </w:p>
    <w:p w:rsidR="003C6E6D" w:rsidRDefault="003C6E6D" w:rsidP="0001350C">
      <w:pPr>
        <w:tabs>
          <w:tab w:val="left" w:pos="5385"/>
        </w:tabs>
      </w:pPr>
    </w:p>
    <w:p w:rsidR="003C6E6D" w:rsidRDefault="003C6E6D" w:rsidP="0001350C">
      <w:pPr>
        <w:tabs>
          <w:tab w:val="left" w:pos="5385"/>
        </w:tabs>
      </w:pPr>
    </w:p>
    <w:p w:rsidR="003C6E6D" w:rsidRDefault="003C6E6D" w:rsidP="0001350C">
      <w:pPr>
        <w:tabs>
          <w:tab w:val="left" w:pos="5385"/>
        </w:tabs>
      </w:pPr>
    </w:p>
    <w:p w:rsidR="003C6E6D" w:rsidRDefault="003C6E6D" w:rsidP="0001350C">
      <w:pPr>
        <w:tabs>
          <w:tab w:val="left" w:pos="5385"/>
        </w:tabs>
      </w:pPr>
    </w:p>
    <w:p w:rsidR="003C6E6D" w:rsidRDefault="003C6E6D" w:rsidP="0001350C">
      <w:pPr>
        <w:tabs>
          <w:tab w:val="left" w:pos="5385"/>
        </w:tabs>
      </w:pPr>
    </w:p>
    <w:p w:rsidR="003C6E6D" w:rsidRDefault="003C6E6D" w:rsidP="0001350C">
      <w:pPr>
        <w:tabs>
          <w:tab w:val="left" w:pos="5385"/>
        </w:tabs>
      </w:pPr>
    </w:p>
    <w:p w:rsidR="00C83474" w:rsidRPr="00D97084" w:rsidRDefault="00C83474" w:rsidP="0001350C">
      <w:pPr>
        <w:tabs>
          <w:tab w:val="left" w:pos="5385"/>
        </w:tabs>
        <w:rPr>
          <w:b/>
        </w:rPr>
      </w:pPr>
      <w:r w:rsidRPr="00D97084">
        <w:rPr>
          <w:rFonts w:hint="eastAsia"/>
          <w:b/>
        </w:rPr>
        <w:lastRenderedPageBreak/>
        <w:t>結果</w:t>
      </w:r>
      <w:r w:rsidRPr="00D97084">
        <w:rPr>
          <w:rFonts w:hint="eastAsia"/>
          <w:b/>
        </w:rPr>
        <w:t>:</w:t>
      </w:r>
    </w:p>
    <w:tbl>
      <w:tblPr>
        <w:tblStyle w:val="a3"/>
        <w:tblW w:w="7284" w:type="dxa"/>
        <w:tblLook w:val="04A0" w:firstRow="1" w:lastRow="0" w:firstColumn="1" w:lastColumn="0" w:noHBand="0" w:noVBand="1"/>
      </w:tblPr>
      <w:tblGrid>
        <w:gridCol w:w="2427"/>
        <w:gridCol w:w="2813"/>
        <w:gridCol w:w="2044"/>
      </w:tblGrid>
      <w:tr w:rsidR="00C83474" w:rsidTr="003C6E6D">
        <w:trPr>
          <w:trHeight w:val="1947"/>
        </w:trPr>
        <w:tc>
          <w:tcPr>
            <w:tcW w:w="2427" w:type="dxa"/>
            <w:vAlign w:val="center"/>
          </w:tcPr>
          <w:p w:rsidR="00C83474" w:rsidRDefault="00C83474" w:rsidP="003C6E6D">
            <w:pPr>
              <w:tabs>
                <w:tab w:val="left" w:pos="5385"/>
              </w:tabs>
              <w:jc w:val="center"/>
            </w:pPr>
          </w:p>
        </w:tc>
        <w:tc>
          <w:tcPr>
            <w:tcW w:w="2813" w:type="dxa"/>
            <w:vAlign w:val="center"/>
          </w:tcPr>
          <w:p w:rsidR="00C83474" w:rsidRDefault="00C83474" w:rsidP="003C6E6D">
            <w:pPr>
              <w:tabs>
                <w:tab w:val="left" w:pos="5385"/>
              </w:tabs>
              <w:jc w:val="center"/>
            </w:pPr>
            <w:r>
              <w:rPr>
                <w:rFonts w:hint="eastAsia"/>
              </w:rPr>
              <w:t>結果正常</w:t>
            </w:r>
          </w:p>
        </w:tc>
        <w:tc>
          <w:tcPr>
            <w:tcW w:w="2044" w:type="dxa"/>
            <w:vAlign w:val="center"/>
          </w:tcPr>
          <w:p w:rsidR="00C83474" w:rsidRDefault="00C83474" w:rsidP="003C6E6D">
            <w:pPr>
              <w:tabs>
                <w:tab w:val="left" w:pos="5385"/>
              </w:tabs>
              <w:jc w:val="center"/>
            </w:pPr>
            <w:r>
              <w:rPr>
                <w:rFonts w:hint="eastAsia"/>
              </w:rPr>
              <w:t>結果反常</w:t>
            </w:r>
          </w:p>
        </w:tc>
      </w:tr>
      <w:tr w:rsidR="00C83474" w:rsidTr="003C6E6D">
        <w:trPr>
          <w:trHeight w:val="1866"/>
        </w:trPr>
        <w:tc>
          <w:tcPr>
            <w:tcW w:w="2427" w:type="dxa"/>
            <w:vAlign w:val="center"/>
          </w:tcPr>
          <w:p w:rsidR="00C83474" w:rsidRDefault="00C83474" w:rsidP="003C6E6D">
            <w:pPr>
              <w:tabs>
                <w:tab w:val="left" w:pos="5385"/>
              </w:tabs>
              <w:jc w:val="center"/>
            </w:pPr>
            <w:r>
              <w:rPr>
                <w:rFonts w:hint="eastAsia"/>
              </w:rPr>
              <w:t>正相關</w:t>
            </w:r>
          </w:p>
        </w:tc>
        <w:tc>
          <w:tcPr>
            <w:tcW w:w="2813" w:type="dxa"/>
            <w:vAlign w:val="center"/>
          </w:tcPr>
          <w:p w:rsidR="00C83474" w:rsidRDefault="00C83474" w:rsidP="003C6E6D">
            <w:pPr>
              <w:widowControl/>
              <w:jc w:val="center"/>
              <w:rPr>
                <w:color w:val="000000"/>
              </w:rPr>
            </w:pPr>
            <w:r>
              <w:rPr>
                <w:rFonts w:hint="eastAsia"/>
                <w:color w:val="000000"/>
              </w:rPr>
              <w:t>投信</w:t>
            </w:r>
            <w:r>
              <w:rPr>
                <w:rFonts w:hint="eastAsia"/>
                <w:color w:val="000000"/>
              </w:rPr>
              <w:t>0.1169</w:t>
            </w:r>
          </w:p>
          <w:p w:rsidR="00C83474" w:rsidRDefault="00C83474" w:rsidP="003C6E6D">
            <w:pPr>
              <w:widowControl/>
              <w:jc w:val="center"/>
              <w:rPr>
                <w:color w:val="000000"/>
              </w:rPr>
            </w:pPr>
            <w:r>
              <w:rPr>
                <w:rFonts w:hint="eastAsia"/>
                <w:color w:val="000000"/>
              </w:rPr>
              <w:t>自營商</w:t>
            </w:r>
            <w:r>
              <w:rPr>
                <w:rFonts w:hint="eastAsia"/>
                <w:color w:val="000000"/>
              </w:rPr>
              <w:t>0.3505</w:t>
            </w:r>
          </w:p>
          <w:p w:rsidR="00C83474" w:rsidRDefault="00C83474" w:rsidP="003C6E6D">
            <w:pPr>
              <w:widowControl/>
              <w:jc w:val="center"/>
              <w:rPr>
                <w:color w:val="000000"/>
              </w:rPr>
            </w:pPr>
            <w:r>
              <w:rPr>
                <w:rFonts w:hint="eastAsia"/>
                <w:color w:val="000000"/>
              </w:rPr>
              <w:t>大盤</w:t>
            </w:r>
            <w:r>
              <w:rPr>
                <w:rFonts w:hint="eastAsia"/>
                <w:color w:val="000000"/>
              </w:rPr>
              <w:t>0.3549</w:t>
            </w:r>
          </w:p>
          <w:p w:rsidR="00C83474" w:rsidRDefault="00C83474" w:rsidP="003C6E6D">
            <w:pPr>
              <w:widowControl/>
              <w:jc w:val="center"/>
              <w:rPr>
                <w:color w:val="000000"/>
              </w:rPr>
            </w:pPr>
            <w:r>
              <w:rPr>
                <w:rFonts w:hint="eastAsia"/>
                <w:color w:val="000000"/>
              </w:rPr>
              <w:t>外資</w:t>
            </w:r>
            <w:r>
              <w:rPr>
                <w:rFonts w:hint="eastAsia"/>
                <w:color w:val="000000"/>
              </w:rPr>
              <w:t>0.5310</w:t>
            </w:r>
          </w:p>
          <w:p w:rsidR="00C83474" w:rsidRDefault="00C83474" w:rsidP="003C6E6D">
            <w:pPr>
              <w:widowControl/>
              <w:jc w:val="center"/>
              <w:rPr>
                <w:color w:val="000000"/>
              </w:rPr>
            </w:pPr>
            <w:r>
              <w:rPr>
                <w:rFonts w:hint="eastAsia"/>
                <w:color w:val="000000"/>
              </w:rPr>
              <w:t>三大合計</w:t>
            </w:r>
            <w:r>
              <w:rPr>
                <w:rFonts w:hint="eastAsia"/>
                <w:color w:val="000000"/>
              </w:rPr>
              <w:t>0.5276</w:t>
            </w:r>
          </w:p>
          <w:p w:rsidR="00C83474" w:rsidRDefault="00C83474" w:rsidP="003C6E6D">
            <w:pPr>
              <w:widowControl/>
              <w:jc w:val="center"/>
              <w:rPr>
                <w:color w:val="000000"/>
              </w:rPr>
            </w:pPr>
            <w:r>
              <w:rPr>
                <w:rFonts w:hint="eastAsia"/>
                <w:color w:val="000000"/>
              </w:rPr>
              <w:t>(</w:t>
            </w:r>
            <w:r>
              <w:rPr>
                <w:rFonts w:hint="eastAsia"/>
                <w:color w:val="000000"/>
              </w:rPr>
              <w:t>台積電</w:t>
            </w:r>
            <w:r>
              <w:rPr>
                <w:rFonts w:hint="eastAsia"/>
                <w:color w:val="000000"/>
              </w:rPr>
              <w:t>)</w:t>
            </w:r>
            <w:r>
              <w:rPr>
                <w:rFonts w:hint="eastAsia"/>
                <w:color w:val="000000"/>
              </w:rPr>
              <w:t>外資</w:t>
            </w:r>
            <w:r>
              <w:rPr>
                <w:rFonts w:hint="eastAsia"/>
                <w:color w:val="000000"/>
              </w:rPr>
              <w:t>0.3176</w:t>
            </w:r>
          </w:p>
          <w:p w:rsidR="00C83474" w:rsidRDefault="00C83474" w:rsidP="003C6E6D">
            <w:pPr>
              <w:widowControl/>
              <w:jc w:val="center"/>
              <w:rPr>
                <w:color w:val="000000"/>
              </w:rPr>
            </w:pPr>
            <w:r>
              <w:rPr>
                <w:rFonts w:hint="eastAsia"/>
                <w:color w:val="000000"/>
              </w:rPr>
              <w:t>(</w:t>
            </w:r>
            <w:r>
              <w:rPr>
                <w:rFonts w:hint="eastAsia"/>
                <w:color w:val="000000"/>
              </w:rPr>
              <w:t>台積電</w:t>
            </w:r>
            <w:r>
              <w:rPr>
                <w:rFonts w:hint="eastAsia"/>
                <w:color w:val="000000"/>
              </w:rPr>
              <w:t>)</w:t>
            </w:r>
            <w:r>
              <w:rPr>
                <w:rFonts w:hint="eastAsia"/>
                <w:color w:val="000000"/>
              </w:rPr>
              <w:t>合計</w:t>
            </w:r>
            <w:r>
              <w:rPr>
                <w:rFonts w:hint="eastAsia"/>
                <w:color w:val="000000"/>
              </w:rPr>
              <w:t>0.3037</w:t>
            </w:r>
          </w:p>
          <w:p w:rsidR="00C83474" w:rsidRPr="00C83474" w:rsidRDefault="00C83474" w:rsidP="003C6E6D">
            <w:pPr>
              <w:tabs>
                <w:tab w:val="left" w:pos="5385"/>
              </w:tabs>
              <w:jc w:val="center"/>
            </w:pPr>
          </w:p>
        </w:tc>
        <w:tc>
          <w:tcPr>
            <w:tcW w:w="2044" w:type="dxa"/>
            <w:vAlign w:val="center"/>
          </w:tcPr>
          <w:p w:rsidR="00C83474" w:rsidRDefault="00C83474" w:rsidP="003C6E6D">
            <w:pPr>
              <w:widowControl/>
              <w:jc w:val="center"/>
              <w:rPr>
                <w:color w:val="000000"/>
              </w:rPr>
            </w:pPr>
            <w:r>
              <w:rPr>
                <w:rFonts w:hint="eastAsia"/>
                <w:color w:val="000000"/>
              </w:rPr>
              <w:t>黃金</w:t>
            </w:r>
            <w:r>
              <w:rPr>
                <w:rFonts w:hint="eastAsia"/>
                <w:color w:val="000000"/>
              </w:rPr>
              <w:t>0.2232</w:t>
            </w:r>
            <w:r>
              <w:rPr>
                <w:rFonts w:hint="eastAsia"/>
                <w:color w:val="000000"/>
              </w:rPr>
              <w:t>、</w:t>
            </w:r>
          </w:p>
          <w:p w:rsidR="00C83474" w:rsidRDefault="00C83474" w:rsidP="003C6E6D">
            <w:pPr>
              <w:tabs>
                <w:tab w:val="left" w:pos="5385"/>
              </w:tabs>
              <w:jc w:val="center"/>
            </w:pPr>
          </w:p>
        </w:tc>
      </w:tr>
      <w:tr w:rsidR="00C83474" w:rsidTr="003C6E6D">
        <w:trPr>
          <w:trHeight w:val="1947"/>
        </w:trPr>
        <w:tc>
          <w:tcPr>
            <w:tcW w:w="2427" w:type="dxa"/>
            <w:vAlign w:val="center"/>
          </w:tcPr>
          <w:p w:rsidR="00C83474" w:rsidRDefault="00C83474" w:rsidP="003C6E6D">
            <w:pPr>
              <w:tabs>
                <w:tab w:val="left" w:pos="5385"/>
              </w:tabs>
              <w:jc w:val="center"/>
            </w:pPr>
            <w:r>
              <w:rPr>
                <w:rFonts w:hint="eastAsia"/>
              </w:rPr>
              <w:t>負相關</w:t>
            </w:r>
          </w:p>
        </w:tc>
        <w:tc>
          <w:tcPr>
            <w:tcW w:w="2813" w:type="dxa"/>
            <w:vAlign w:val="center"/>
          </w:tcPr>
          <w:p w:rsidR="00C83474" w:rsidRDefault="00C83474" w:rsidP="003C6E6D">
            <w:pPr>
              <w:widowControl/>
              <w:jc w:val="center"/>
              <w:rPr>
                <w:color w:val="000000"/>
              </w:rPr>
            </w:pPr>
            <w:r>
              <w:rPr>
                <w:rFonts w:hint="eastAsia"/>
                <w:color w:val="000000"/>
              </w:rPr>
              <w:t>美金匯率</w:t>
            </w:r>
            <w:r>
              <w:rPr>
                <w:rFonts w:hint="eastAsia"/>
                <w:color w:val="000000"/>
              </w:rPr>
              <w:t>-0.3327</w:t>
            </w:r>
          </w:p>
          <w:p w:rsidR="00C83474" w:rsidRDefault="00C83474" w:rsidP="003C6E6D">
            <w:pPr>
              <w:tabs>
                <w:tab w:val="left" w:pos="5385"/>
              </w:tabs>
              <w:jc w:val="center"/>
            </w:pPr>
          </w:p>
        </w:tc>
        <w:tc>
          <w:tcPr>
            <w:tcW w:w="2044" w:type="dxa"/>
            <w:vAlign w:val="center"/>
          </w:tcPr>
          <w:p w:rsidR="00C83474" w:rsidRDefault="00C83474" w:rsidP="003C6E6D">
            <w:pPr>
              <w:widowControl/>
              <w:jc w:val="center"/>
              <w:rPr>
                <w:color w:val="000000"/>
              </w:rPr>
            </w:pPr>
            <w:r>
              <w:rPr>
                <w:rFonts w:hint="eastAsia"/>
                <w:color w:val="000000"/>
              </w:rPr>
              <w:t>台積電</w:t>
            </w:r>
            <w:r>
              <w:rPr>
                <w:rFonts w:hint="eastAsia"/>
                <w:color w:val="000000"/>
              </w:rPr>
              <w:t>(</w:t>
            </w:r>
            <w:r>
              <w:rPr>
                <w:rFonts w:hint="eastAsia"/>
                <w:color w:val="000000"/>
              </w:rPr>
              <w:t>投信</w:t>
            </w:r>
            <w:r>
              <w:rPr>
                <w:rFonts w:hint="eastAsia"/>
                <w:color w:val="000000"/>
              </w:rPr>
              <w:t>)-0.1012</w:t>
            </w:r>
            <w:r>
              <w:rPr>
                <w:rFonts w:hint="eastAsia"/>
                <w:color w:val="000000"/>
              </w:rPr>
              <w:t>、台自營</w:t>
            </w:r>
            <w:r>
              <w:rPr>
                <w:rFonts w:hint="eastAsia"/>
                <w:color w:val="000000"/>
              </w:rPr>
              <w:t>-0.1465</w:t>
            </w:r>
          </w:p>
          <w:p w:rsidR="00C83474" w:rsidRDefault="00C83474" w:rsidP="003C6E6D">
            <w:pPr>
              <w:tabs>
                <w:tab w:val="left" w:pos="5385"/>
              </w:tabs>
              <w:jc w:val="center"/>
            </w:pPr>
          </w:p>
        </w:tc>
      </w:tr>
      <w:tr w:rsidR="00C83474" w:rsidTr="003C6E6D">
        <w:trPr>
          <w:trHeight w:val="1866"/>
        </w:trPr>
        <w:tc>
          <w:tcPr>
            <w:tcW w:w="2427" w:type="dxa"/>
            <w:vAlign w:val="center"/>
          </w:tcPr>
          <w:p w:rsidR="00C83474" w:rsidRDefault="00C83474" w:rsidP="003C6E6D">
            <w:pPr>
              <w:tabs>
                <w:tab w:val="left" w:pos="5385"/>
              </w:tabs>
              <w:jc w:val="center"/>
            </w:pPr>
            <w:r>
              <w:rPr>
                <w:rFonts w:hint="eastAsia"/>
              </w:rPr>
              <w:t>無相關</w:t>
            </w:r>
            <w:r>
              <w:rPr>
                <w:rFonts w:hint="eastAsia"/>
              </w:rPr>
              <w:t>(</w:t>
            </w:r>
            <w:r>
              <w:rPr>
                <w:rFonts w:hint="eastAsia"/>
              </w:rPr>
              <w:t>相關係數過低</w:t>
            </w:r>
            <w:r>
              <w:rPr>
                <w:rFonts w:hint="eastAsia"/>
              </w:rPr>
              <w:t>)</w:t>
            </w:r>
          </w:p>
        </w:tc>
        <w:tc>
          <w:tcPr>
            <w:tcW w:w="2813" w:type="dxa"/>
            <w:vAlign w:val="center"/>
          </w:tcPr>
          <w:p w:rsidR="00C83474" w:rsidRDefault="00C83474" w:rsidP="003C6E6D">
            <w:pPr>
              <w:tabs>
                <w:tab w:val="left" w:pos="5385"/>
              </w:tabs>
              <w:jc w:val="center"/>
            </w:pPr>
          </w:p>
        </w:tc>
        <w:tc>
          <w:tcPr>
            <w:tcW w:w="2044" w:type="dxa"/>
            <w:vAlign w:val="center"/>
          </w:tcPr>
          <w:p w:rsidR="00C83474" w:rsidRDefault="00C83474" w:rsidP="003C6E6D">
            <w:pPr>
              <w:widowControl/>
              <w:jc w:val="center"/>
              <w:rPr>
                <w:color w:val="000000"/>
              </w:rPr>
            </w:pPr>
            <w:r>
              <w:rPr>
                <w:rFonts w:hint="eastAsia"/>
                <w:color w:val="000000"/>
              </w:rPr>
              <w:t>油價</w:t>
            </w:r>
            <w:r>
              <w:rPr>
                <w:rFonts w:hint="eastAsia"/>
                <w:color w:val="000000"/>
              </w:rPr>
              <w:t>0.0940</w:t>
            </w:r>
          </w:p>
          <w:p w:rsidR="00C83474" w:rsidRDefault="00C83474" w:rsidP="003C6E6D">
            <w:pPr>
              <w:widowControl/>
              <w:jc w:val="center"/>
              <w:rPr>
                <w:color w:val="000000"/>
              </w:rPr>
            </w:pPr>
            <w:r>
              <w:rPr>
                <w:rFonts w:hint="eastAsia"/>
                <w:color w:val="000000"/>
              </w:rPr>
              <w:t>NASDAQ 0.0480</w:t>
            </w:r>
          </w:p>
          <w:p w:rsidR="00C83474" w:rsidRDefault="00C83474" w:rsidP="003C6E6D">
            <w:pPr>
              <w:tabs>
                <w:tab w:val="left" w:pos="5385"/>
              </w:tabs>
              <w:jc w:val="center"/>
            </w:pPr>
          </w:p>
        </w:tc>
      </w:tr>
    </w:tbl>
    <w:p w:rsidR="003C6E6D" w:rsidRDefault="003C6E6D" w:rsidP="003C6E6D">
      <w:pPr>
        <w:tabs>
          <w:tab w:val="left" w:pos="5385"/>
        </w:tabs>
      </w:pPr>
      <w:r>
        <w:rPr>
          <w:rFonts w:hint="eastAsia"/>
        </w:rPr>
        <w:t xml:space="preserve">　相關係數的值介於</w:t>
      </w:r>
      <w:proofErr w:type="gramStart"/>
      <w:r>
        <w:rPr>
          <w:rFonts w:hint="eastAsia"/>
        </w:rPr>
        <w:t>–</w:t>
      </w:r>
      <w:proofErr w:type="gramEnd"/>
      <w:r>
        <w:t>1</w:t>
      </w:r>
      <w:r>
        <w:rPr>
          <w:rFonts w:hint="eastAsia"/>
        </w:rPr>
        <w:t>與</w:t>
      </w:r>
      <w:r>
        <w:t>+1</w:t>
      </w:r>
      <w:proofErr w:type="gramStart"/>
      <w:r>
        <w:rPr>
          <w:rFonts w:hint="eastAsia"/>
        </w:rPr>
        <w:t>之間，即–</w:t>
      </w:r>
      <w:proofErr w:type="gramEnd"/>
      <w:r>
        <w:t>1≤r≤+1</w:t>
      </w:r>
      <w:r>
        <w:rPr>
          <w:rFonts w:hint="eastAsia"/>
        </w:rPr>
        <w:t>。其性質如下：</w:t>
      </w:r>
    </w:p>
    <w:p w:rsidR="003C6E6D" w:rsidRDefault="003C6E6D" w:rsidP="003C6E6D">
      <w:pPr>
        <w:tabs>
          <w:tab w:val="left" w:pos="5385"/>
        </w:tabs>
      </w:pPr>
    </w:p>
    <w:p w:rsidR="003C6E6D" w:rsidRDefault="003C6E6D" w:rsidP="003C6E6D">
      <w:pPr>
        <w:tabs>
          <w:tab w:val="left" w:pos="5385"/>
        </w:tabs>
        <w:rPr>
          <w:rFonts w:hint="eastAsia"/>
        </w:rPr>
      </w:pPr>
      <w:r>
        <w:rPr>
          <w:rFonts w:hint="eastAsia"/>
        </w:rPr>
        <w:t>當</w:t>
      </w:r>
      <w:r>
        <w:rPr>
          <w:rFonts w:hint="eastAsia"/>
        </w:rPr>
        <w:t>r&gt;0</w:t>
      </w:r>
      <w:r>
        <w:rPr>
          <w:rFonts w:hint="eastAsia"/>
        </w:rPr>
        <w:t>時，表示兩變數正相關，</w:t>
      </w:r>
      <w:r>
        <w:rPr>
          <w:rFonts w:hint="eastAsia"/>
        </w:rPr>
        <w:t>r&lt;0</w:t>
      </w:r>
      <w:r>
        <w:rPr>
          <w:rFonts w:hint="eastAsia"/>
        </w:rPr>
        <w:t>時，兩變數為負相關。</w:t>
      </w:r>
    </w:p>
    <w:p w:rsidR="003C6E6D" w:rsidRDefault="003C6E6D" w:rsidP="003C6E6D">
      <w:pPr>
        <w:tabs>
          <w:tab w:val="left" w:pos="5385"/>
        </w:tabs>
        <w:rPr>
          <w:rFonts w:hint="eastAsia"/>
        </w:rPr>
      </w:pPr>
      <w:r>
        <w:rPr>
          <w:rFonts w:hint="eastAsia"/>
        </w:rPr>
        <w:t>當</w:t>
      </w:r>
      <w:r>
        <w:rPr>
          <w:rFonts w:hint="eastAsia"/>
        </w:rPr>
        <w:t>|r|=1</w:t>
      </w:r>
      <w:r>
        <w:rPr>
          <w:rFonts w:hint="eastAsia"/>
        </w:rPr>
        <w:t>時，表示兩變數為完全線性相關，即為函數關係。</w:t>
      </w:r>
    </w:p>
    <w:p w:rsidR="003C6E6D" w:rsidRDefault="003C6E6D" w:rsidP="003C6E6D">
      <w:pPr>
        <w:tabs>
          <w:tab w:val="left" w:pos="5385"/>
        </w:tabs>
        <w:rPr>
          <w:rFonts w:hint="eastAsia"/>
        </w:rPr>
      </w:pPr>
      <w:r>
        <w:rPr>
          <w:rFonts w:hint="eastAsia"/>
        </w:rPr>
        <w:t>當</w:t>
      </w:r>
      <w:r>
        <w:rPr>
          <w:rFonts w:hint="eastAsia"/>
        </w:rPr>
        <w:t>r=0</w:t>
      </w:r>
      <w:r>
        <w:rPr>
          <w:rFonts w:hint="eastAsia"/>
        </w:rPr>
        <w:t>時，表示兩</w:t>
      </w:r>
      <w:proofErr w:type="gramStart"/>
      <w:r>
        <w:rPr>
          <w:rFonts w:hint="eastAsia"/>
        </w:rPr>
        <w:t>變數間無線性</w:t>
      </w:r>
      <w:proofErr w:type="gramEnd"/>
      <w:r>
        <w:rPr>
          <w:rFonts w:hint="eastAsia"/>
        </w:rPr>
        <w:t>相關關係。</w:t>
      </w:r>
    </w:p>
    <w:p w:rsidR="003C6E6D" w:rsidRDefault="003C6E6D" w:rsidP="003C6E6D">
      <w:pPr>
        <w:tabs>
          <w:tab w:val="left" w:pos="5385"/>
        </w:tabs>
        <w:rPr>
          <w:rFonts w:hint="eastAsia"/>
        </w:rPr>
      </w:pPr>
      <w:r>
        <w:rPr>
          <w:rFonts w:hint="eastAsia"/>
        </w:rPr>
        <w:t>當</w:t>
      </w:r>
      <w:r>
        <w:rPr>
          <w:rFonts w:hint="eastAsia"/>
        </w:rPr>
        <w:t>0&lt;|r|&lt;1</w:t>
      </w:r>
      <w:r>
        <w:rPr>
          <w:rFonts w:hint="eastAsia"/>
        </w:rPr>
        <w:t>時，表示兩變數存在一定程度的線性相關。且</w:t>
      </w:r>
      <w:r>
        <w:rPr>
          <w:rFonts w:hint="eastAsia"/>
        </w:rPr>
        <w:t>|r|</w:t>
      </w:r>
      <w:r>
        <w:rPr>
          <w:rFonts w:hint="eastAsia"/>
        </w:rPr>
        <w:t>越接近</w:t>
      </w:r>
      <w:r>
        <w:rPr>
          <w:rFonts w:hint="eastAsia"/>
        </w:rPr>
        <w:t>1</w:t>
      </w:r>
      <w:r>
        <w:rPr>
          <w:rFonts w:hint="eastAsia"/>
        </w:rPr>
        <w:t>，兩變數間線性關係越密切；</w:t>
      </w:r>
      <w:r>
        <w:rPr>
          <w:rFonts w:hint="eastAsia"/>
        </w:rPr>
        <w:t>|r|</w:t>
      </w:r>
      <w:r>
        <w:rPr>
          <w:rFonts w:hint="eastAsia"/>
        </w:rPr>
        <w:t>越接近於</w:t>
      </w:r>
      <w:r>
        <w:rPr>
          <w:rFonts w:hint="eastAsia"/>
        </w:rPr>
        <w:t>0</w:t>
      </w:r>
      <w:r>
        <w:rPr>
          <w:rFonts w:hint="eastAsia"/>
        </w:rPr>
        <w:t>，表示兩變數的線性</w:t>
      </w:r>
      <w:proofErr w:type="gramStart"/>
      <w:r>
        <w:rPr>
          <w:rFonts w:hint="eastAsia"/>
        </w:rPr>
        <w:t>相關越弱</w:t>
      </w:r>
      <w:proofErr w:type="gramEnd"/>
      <w:r>
        <w:rPr>
          <w:rFonts w:hint="eastAsia"/>
        </w:rPr>
        <w:t>。</w:t>
      </w:r>
    </w:p>
    <w:p w:rsidR="0001350C" w:rsidRDefault="003C6E6D" w:rsidP="003C6E6D">
      <w:pPr>
        <w:tabs>
          <w:tab w:val="left" w:pos="5385"/>
        </w:tabs>
      </w:pPr>
      <w:r>
        <w:rPr>
          <w:rFonts w:hint="eastAsia"/>
        </w:rPr>
        <w:t>一般可按三級劃分：</w:t>
      </w:r>
      <w:r>
        <w:t>|r|&lt;0.4</w:t>
      </w:r>
      <w:r>
        <w:rPr>
          <w:rFonts w:hint="eastAsia"/>
        </w:rPr>
        <w:t>為低度線性相關；</w:t>
      </w:r>
      <w:r>
        <w:t>0.4≤|r|&lt;0.7</w:t>
      </w:r>
      <w:r>
        <w:rPr>
          <w:rFonts w:hint="eastAsia"/>
        </w:rPr>
        <w:t>為顯著性相關；</w:t>
      </w:r>
      <w:r>
        <w:t>0.7≤|r|&lt;1</w:t>
      </w:r>
      <w:r>
        <w:rPr>
          <w:rFonts w:hint="eastAsia"/>
        </w:rPr>
        <w:t>為高度線性相關。</w:t>
      </w:r>
    </w:p>
    <w:p w:rsidR="002A1E6E" w:rsidRDefault="002A1E6E" w:rsidP="003C6E6D">
      <w:pPr>
        <w:tabs>
          <w:tab w:val="left" w:pos="5385"/>
        </w:tabs>
      </w:pPr>
    </w:p>
    <w:p w:rsidR="002A1E6E" w:rsidRDefault="002A1E6E" w:rsidP="003C6E6D">
      <w:pPr>
        <w:tabs>
          <w:tab w:val="left" w:pos="5385"/>
        </w:tabs>
      </w:pPr>
      <w:r>
        <w:rPr>
          <w:rFonts w:hint="eastAsia"/>
        </w:rPr>
        <w:t>以正常情況來講三大法人，包括投信</w:t>
      </w:r>
      <w:r>
        <w:rPr>
          <w:rFonts w:asciiTheme="minorEastAsia" w:hAnsiTheme="minorEastAsia" w:hint="eastAsia"/>
        </w:rPr>
        <w:t>、</w:t>
      </w:r>
      <w:r>
        <w:rPr>
          <w:rFonts w:hint="eastAsia"/>
        </w:rPr>
        <w:t>自營商</w:t>
      </w:r>
      <w:r>
        <w:rPr>
          <w:rFonts w:asciiTheme="minorEastAsia" w:hAnsiTheme="minorEastAsia" w:hint="eastAsia"/>
        </w:rPr>
        <w:t>、</w:t>
      </w:r>
      <w:r>
        <w:rPr>
          <w:rFonts w:hint="eastAsia"/>
        </w:rPr>
        <w:t>外資是主力，要與</w:t>
      </w:r>
      <w:r w:rsidR="00AA0C3B">
        <w:rPr>
          <w:rFonts w:hint="eastAsia"/>
        </w:rPr>
        <w:t>該投資法人的買賣超呈現正相關的關係，而大盤指數表示台灣上市公司加權指數，台積電</w:t>
      </w:r>
      <w:r w:rsidR="00AA0C3B">
        <w:rPr>
          <w:rFonts w:hint="eastAsia"/>
        </w:rPr>
        <w:t>(2330)</w:t>
      </w:r>
      <w:r w:rsidR="00AA0C3B">
        <w:rPr>
          <w:rFonts w:hint="eastAsia"/>
        </w:rPr>
        <w:t>是台灣股市權重最高的公司，擷取至</w:t>
      </w:r>
      <w:r w:rsidR="00AA0C3B">
        <w:rPr>
          <w:rFonts w:hint="eastAsia"/>
        </w:rPr>
        <w:t>2018</w:t>
      </w:r>
      <w:r w:rsidR="00AA0C3B">
        <w:rPr>
          <w:rFonts w:hint="eastAsia"/>
        </w:rPr>
        <w:t>年</w:t>
      </w:r>
      <w:r w:rsidR="00AA0C3B">
        <w:rPr>
          <w:rFonts w:hint="eastAsia"/>
        </w:rPr>
        <w:t>6</w:t>
      </w:r>
      <w:r w:rsidR="00AA0C3B">
        <w:rPr>
          <w:rFonts w:hint="eastAsia"/>
        </w:rPr>
        <w:t>月</w:t>
      </w:r>
      <w:r w:rsidR="00AA0C3B">
        <w:rPr>
          <w:rFonts w:hint="eastAsia"/>
        </w:rPr>
        <w:t>1</w:t>
      </w:r>
      <w:r w:rsidR="00AA0C3B">
        <w:rPr>
          <w:rFonts w:hint="eastAsia"/>
        </w:rPr>
        <w:t>日為止，占台灣上市</w:t>
      </w:r>
      <w:r w:rsidR="00AA0C3B">
        <w:rPr>
          <w:rFonts w:hint="eastAsia"/>
        </w:rPr>
        <w:lastRenderedPageBreak/>
        <w:t>公司市值</w:t>
      </w:r>
      <w:r w:rsidR="00AA0C3B">
        <w:rPr>
          <w:rFonts w:hint="eastAsia"/>
        </w:rPr>
        <w:t>17.8589%(</w:t>
      </w:r>
      <w:r w:rsidR="00AA0C3B">
        <w:rPr>
          <w:rFonts w:hint="eastAsia"/>
        </w:rPr>
        <w:t>資料取自公開資訊觀測站</w:t>
      </w:r>
      <w:r w:rsidR="00AA0C3B">
        <w:rPr>
          <w:rFonts w:hint="eastAsia"/>
        </w:rPr>
        <w:t>)</w:t>
      </w:r>
      <w:r w:rsidR="00AA0C3B">
        <w:rPr>
          <w:rFonts w:hint="eastAsia"/>
        </w:rPr>
        <w:t>，故大盤指數與台積電走勢也應與該法人投資人買賣呈正相關。</w:t>
      </w:r>
    </w:p>
    <w:p w:rsidR="00CC541E" w:rsidRDefault="00CC541E" w:rsidP="003C6E6D">
      <w:pPr>
        <w:tabs>
          <w:tab w:val="left" w:pos="5385"/>
        </w:tabs>
      </w:pPr>
    </w:p>
    <w:p w:rsidR="00CC541E" w:rsidRDefault="00DB582F" w:rsidP="003C6E6D">
      <w:pPr>
        <w:tabs>
          <w:tab w:val="left" w:pos="5385"/>
        </w:tabs>
      </w:pPr>
      <w:r>
        <w:rPr>
          <w:rFonts w:hint="eastAsia"/>
        </w:rPr>
        <w:t>以基本面而言，</w:t>
      </w:r>
      <w:r w:rsidR="00CC541E">
        <w:rPr>
          <w:rFonts w:hint="eastAsia"/>
        </w:rPr>
        <w:t>台灣是以外銷為主的國家，尤其以大量外銷的企業而言，外國貨幣貶值</w:t>
      </w:r>
      <w:r>
        <w:rPr>
          <w:rFonts w:hint="eastAsia"/>
        </w:rPr>
        <w:t>(</w:t>
      </w:r>
      <w:r>
        <w:rPr>
          <w:rFonts w:hint="eastAsia"/>
        </w:rPr>
        <w:t>本國貨幣升值</w:t>
      </w:r>
      <w:r>
        <w:rPr>
          <w:rFonts w:hint="eastAsia"/>
        </w:rPr>
        <w:t>)</w:t>
      </w:r>
      <w:r>
        <w:rPr>
          <w:rFonts w:hint="eastAsia"/>
        </w:rPr>
        <w:t>，在財報上的結果會減少營收，所以勢必造成售出股票，股價下跌。</w:t>
      </w:r>
    </w:p>
    <w:p w:rsidR="00DB582F" w:rsidRDefault="00DB582F" w:rsidP="003C6E6D">
      <w:pPr>
        <w:tabs>
          <w:tab w:val="left" w:pos="5385"/>
        </w:tabs>
      </w:pPr>
      <w:r>
        <w:rPr>
          <w:rFonts w:hint="eastAsia"/>
        </w:rPr>
        <w:t>以籌碼面而言，預期美元持續升值</w:t>
      </w:r>
      <w:r>
        <w:rPr>
          <w:rFonts w:hint="eastAsia"/>
        </w:rPr>
        <w:t>(</w:t>
      </w:r>
      <w:r>
        <w:rPr>
          <w:rFonts w:hint="eastAsia"/>
        </w:rPr>
        <w:t>本國貨幣持續貶值</w:t>
      </w:r>
      <w:r>
        <w:rPr>
          <w:rFonts w:hint="eastAsia"/>
        </w:rPr>
        <w:t>)</w:t>
      </w:r>
      <w:r>
        <w:rPr>
          <w:rFonts w:hint="eastAsia"/>
        </w:rPr>
        <w:t>，對台灣股市外資</w:t>
      </w:r>
      <w:proofErr w:type="gramStart"/>
      <w:r>
        <w:rPr>
          <w:rFonts w:hint="eastAsia"/>
        </w:rPr>
        <w:t>佔</w:t>
      </w:r>
      <w:proofErr w:type="gramEnd"/>
      <w:r>
        <w:rPr>
          <w:rFonts w:hint="eastAsia"/>
        </w:rPr>
        <w:t>一定比重而言，投資台股會損失</w:t>
      </w:r>
      <w:proofErr w:type="gramStart"/>
      <w:r>
        <w:rPr>
          <w:rFonts w:hint="eastAsia"/>
        </w:rPr>
        <w:t>匯</w:t>
      </w:r>
      <w:proofErr w:type="gramEnd"/>
      <w:r>
        <w:rPr>
          <w:rFonts w:hint="eastAsia"/>
        </w:rPr>
        <w:t>差，所以進而賣掉股票造成股價下跌。</w:t>
      </w:r>
    </w:p>
    <w:p w:rsidR="009765AA" w:rsidRDefault="009765AA" w:rsidP="003C6E6D">
      <w:pPr>
        <w:tabs>
          <w:tab w:val="left" w:pos="5385"/>
        </w:tabs>
      </w:pPr>
      <w:r>
        <w:rPr>
          <w:rFonts w:hint="eastAsia"/>
        </w:rPr>
        <w:t>而本研究顯示美元對台幣匯率變化與該法人投資人當日買賣呈現負相關。相關係數為</w:t>
      </w:r>
      <w:r>
        <w:rPr>
          <w:rFonts w:hint="eastAsia"/>
        </w:rPr>
        <w:t>-0.337</w:t>
      </w:r>
      <w:r>
        <w:rPr>
          <w:rFonts w:hint="eastAsia"/>
        </w:rPr>
        <w:t>。</w:t>
      </w:r>
    </w:p>
    <w:p w:rsidR="009765AA" w:rsidRDefault="009765AA" w:rsidP="003C6E6D">
      <w:pPr>
        <w:tabs>
          <w:tab w:val="left" w:pos="5385"/>
        </w:tabs>
      </w:pPr>
    </w:p>
    <w:p w:rsidR="009765AA" w:rsidRDefault="009765AA" w:rsidP="003C6E6D">
      <w:pPr>
        <w:tabs>
          <w:tab w:val="left" w:pos="5385"/>
        </w:tabs>
      </w:pPr>
      <w:r>
        <w:rPr>
          <w:rFonts w:hint="eastAsia"/>
        </w:rPr>
        <w:t>黃金是一種投資工具，</w:t>
      </w:r>
      <w:r w:rsidR="00930D9E">
        <w:rPr>
          <w:rFonts w:hint="eastAsia"/>
        </w:rPr>
        <w:t>正常情況下，</w:t>
      </w:r>
      <w:r>
        <w:rPr>
          <w:rFonts w:hint="eastAsia"/>
        </w:rPr>
        <w:t>全球政局動</w:t>
      </w:r>
      <w:proofErr w:type="gramStart"/>
      <w:r>
        <w:rPr>
          <w:rFonts w:hint="eastAsia"/>
        </w:rPr>
        <w:t>盪</w:t>
      </w:r>
      <w:proofErr w:type="gramEnd"/>
      <w:r>
        <w:rPr>
          <w:rFonts w:hint="eastAsia"/>
        </w:rPr>
        <w:t>不安會造成</w:t>
      </w:r>
      <w:r w:rsidR="00930D9E">
        <w:rPr>
          <w:rFonts w:hint="eastAsia"/>
        </w:rPr>
        <w:t>金價上漲，資金流動勢必從股票市場流轉到黃金市場，而本研究顯示黃金價格的變化和該法人投資人買賣台股呈現正相關，相關係數為</w:t>
      </w:r>
      <w:r w:rsidR="00930D9E">
        <w:rPr>
          <w:rFonts w:hint="eastAsia"/>
        </w:rPr>
        <w:t>0.2232</w:t>
      </w:r>
    </w:p>
    <w:p w:rsidR="00D353B6" w:rsidRDefault="00D353B6" w:rsidP="003C6E6D">
      <w:pPr>
        <w:tabs>
          <w:tab w:val="left" w:pos="5385"/>
        </w:tabs>
      </w:pPr>
    </w:p>
    <w:p w:rsidR="00D353B6" w:rsidRDefault="00D353B6" w:rsidP="003C6E6D">
      <w:pPr>
        <w:tabs>
          <w:tab w:val="left" w:pos="5385"/>
        </w:tabs>
      </w:pPr>
      <w:r>
        <w:t>CNNMONEY</w:t>
      </w:r>
      <w:r>
        <w:rPr>
          <w:rFonts w:hint="eastAsia"/>
        </w:rPr>
        <w:t>研究近年來，油價與股價</w:t>
      </w:r>
      <w:proofErr w:type="gramStart"/>
      <w:r>
        <w:rPr>
          <w:rFonts w:hint="eastAsia"/>
        </w:rPr>
        <w:t>同漲同跌</w:t>
      </w:r>
      <w:proofErr w:type="gramEnd"/>
      <w:r>
        <w:rPr>
          <w:rFonts w:hint="eastAsia"/>
        </w:rPr>
        <w:t>，油價代表的是基本經濟物資，但油價影響的是一班投資人的信心</w:t>
      </w:r>
      <w:r w:rsidR="007F7325">
        <w:rPr>
          <w:rFonts w:hint="eastAsia"/>
        </w:rPr>
        <w:t>。一般而言，油價與股市呈現正相關的關係，此研究顯國際油價與該法人投資人當天買賣台股金額相關係數為</w:t>
      </w:r>
      <w:r w:rsidR="007F7325">
        <w:rPr>
          <w:rFonts w:hint="eastAsia"/>
        </w:rPr>
        <w:t>0.094</w:t>
      </w:r>
    </w:p>
    <w:p w:rsidR="007F7325" w:rsidRDefault="007F7325" w:rsidP="003C6E6D">
      <w:pPr>
        <w:tabs>
          <w:tab w:val="left" w:pos="5385"/>
        </w:tabs>
      </w:pPr>
    </w:p>
    <w:p w:rsidR="007F7325" w:rsidRDefault="007F7325" w:rsidP="003C6E6D">
      <w:pPr>
        <w:tabs>
          <w:tab w:val="left" w:pos="5385"/>
        </w:tabs>
      </w:pPr>
    </w:p>
    <w:p w:rsidR="007F7325" w:rsidRDefault="007F7325" w:rsidP="003C6E6D">
      <w:pPr>
        <w:tabs>
          <w:tab w:val="left" w:pos="5385"/>
        </w:tabs>
      </w:pPr>
      <w:hyperlink r:id="rId4" w:history="1">
        <w:r w:rsidRPr="006E3C51">
          <w:rPr>
            <w:rStyle w:val="a4"/>
          </w:rPr>
          <w:t>http://wiki.mbalib.com/zh-tw/%E7%9B%B8%E5%85%B3%E7%B3%BB%E6%95%B0</w:t>
        </w:r>
      </w:hyperlink>
    </w:p>
    <w:p w:rsidR="007F7325" w:rsidRDefault="007F7325" w:rsidP="003C6E6D">
      <w:pPr>
        <w:tabs>
          <w:tab w:val="left" w:pos="5385"/>
        </w:tabs>
      </w:pPr>
    </w:p>
    <w:p w:rsidR="007F7325" w:rsidRDefault="007F7325" w:rsidP="003C6E6D">
      <w:pPr>
        <w:tabs>
          <w:tab w:val="left" w:pos="5385"/>
        </w:tabs>
      </w:pPr>
      <w:hyperlink r:id="rId5" w:history="1">
        <w:r w:rsidRPr="006E3C51">
          <w:rPr>
            <w:rStyle w:val="a4"/>
          </w:rPr>
          <w:t>http://www.bot.com.tw/publications/quarterly/documents/63_2/63_2_5.pdf</w:t>
        </w:r>
      </w:hyperlink>
    </w:p>
    <w:p w:rsidR="007F7325" w:rsidRDefault="007F7325" w:rsidP="003C6E6D">
      <w:pPr>
        <w:tabs>
          <w:tab w:val="left" w:pos="5385"/>
        </w:tabs>
      </w:pPr>
    </w:p>
    <w:p w:rsidR="007F7325" w:rsidRDefault="007F7325" w:rsidP="003C6E6D">
      <w:pPr>
        <w:tabs>
          <w:tab w:val="left" w:pos="5385"/>
        </w:tabs>
      </w:pPr>
      <w:hyperlink r:id="rId6" w:history="1">
        <w:r w:rsidRPr="006E3C51">
          <w:rPr>
            <w:rStyle w:val="a4"/>
          </w:rPr>
          <w:t>http://gn00982591.pixnet.net/blog/post/95652476-%E8%82%A1%E7%A5%A8%E3%80%81%E7%BE%8E%E5%85%83%E8%88%87%E5%8E%9F%E6%B2%B9%E5%83%B9%E5%92%8C%E9%BB%83%E9%87%91%E7%9A%84%E9%97%9C%E4%BF%82</w:t>
        </w:r>
      </w:hyperlink>
    </w:p>
    <w:p w:rsidR="007F7325" w:rsidRPr="00DB582F" w:rsidRDefault="007F7325" w:rsidP="003C6E6D">
      <w:pPr>
        <w:tabs>
          <w:tab w:val="left" w:pos="5385"/>
        </w:tabs>
        <w:rPr>
          <w:rFonts w:hint="eastAsia"/>
        </w:rPr>
      </w:pPr>
      <w:bookmarkStart w:id="0" w:name="_GoBack"/>
      <w:bookmarkEnd w:id="0"/>
    </w:p>
    <w:sectPr w:rsidR="007F7325" w:rsidRPr="00DB582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50C"/>
    <w:rsid w:val="0001350C"/>
    <w:rsid w:val="002A1CB5"/>
    <w:rsid w:val="002A1E6E"/>
    <w:rsid w:val="003C6E6D"/>
    <w:rsid w:val="003E1D7F"/>
    <w:rsid w:val="00463A58"/>
    <w:rsid w:val="005E5344"/>
    <w:rsid w:val="007F7325"/>
    <w:rsid w:val="00930D9E"/>
    <w:rsid w:val="009765AA"/>
    <w:rsid w:val="00A01C9F"/>
    <w:rsid w:val="00AA0C3B"/>
    <w:rsid w:val="00C15B50"/>
    <w:rsid w:val="00C83474"/>
    <w:rsid w:val="00CC541E"/>
    <w:rsid w:val="00D353B6"/>
    <w:rsid w:val="00D97084"/>
    <w:rsid w:val="00DB582F"/>
    <w:rsid w:val="00E27D68"/>
    <w:rsid w:val="00F04C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6DCE"/>
  <w15:chartTrackingRefBased/>
  <w15:docId w15:val="{012E29E5-D7FC-4006-B99C-601CE0EC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83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7F73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95433">
      <w:bodyDiv w:val="1"/>
      <w:marLeft w:val="0"/>
      <w:marRight w:val="0"/>
      <w:marTop w:val="0"/>
      <w:marBottom w:val="0"/>
      <w:divBdr>
        <w:top w:val="none" w:sz="0" w:space="0" w:color="auto"/>
        <w:left w:val="none" w:sz="0" w:space="0" w:color="auto"/>
        <w:bottom w:val="none" w:sz="0" w:space="0" w:color="auto"/>
        <w:right w:val="none" w:sz="0" w:space="0" w:color="auto"/>
      </w:divBdr>
    </w:div>
    <w:div w:id="615254674">
      <w:bodyDiv w:val="1"/>
      <w:marLeft w:val="0"/>
      <w:marRight w:val="0"/>
      <w:marTop w:val="0"/>
      <w:marBottom w:val="0"/>
      <w:divBdr>
        <w:top w:val="none" w:sz="0" w:space="0" w:color="auto"/>
        <w:left w:val="none" w:sz="0" w:space="0" w:color="auto"/>
        <w:bottom w:val="none" w:sz="0" w:space="0" w:color="auto"/>
        <w:right w:val="none" w:sz="0" w:space="0" w:color="auto"/>
      </w:divBdr>
    </w:div>
    <w:div w:id="1029838268">
      <w:bodyDiv w:val="1"/>
      <w:marLeft w:val="0"/>
      <w:marRight w:val="0"/>
      <w:marTop w:val="0"/>
      <w:marBottom w:val="0"/>
      <w:divBdr>
        <w:top w:val="none" w:sz="0" w:space="0" w:color="auto"/>
        <w:left w:val="none" w:sz="0" w:space="0" w:color="auto"/>
        <w:bottom w:val="none" w:sz="0" w:space="0" w:color="auto"/>
        <w:right w:val="none" w:sz="0" w:space="0" w:color="auto"/>
      </w:divBdr>
    </w:div>
    <w:div w:id="1364474471">
      <w:bodyDiv w:val="1"/>
      <w:marLeft w:val="0"/>
      <w:marRight w:val="0"/>
      <w:marTop w:val="0"/>
      <w:marBottom w:val="0"/>
      <w:divBdr>
        <w:top w:val="none" w:sz="0" w:space="0" w:color="auto"/>
        <w:left w:val="none" w:sz="0" w:space="0" w:color="auto"/>
        <w:bottom w:val="none" w:sz="0" w:space="0" w:color="auto"/>
        <w:right w:val="none" w:sz="0" w:space="0" w:color="auto"/>
      </w:divBdr>
    </w:div>
    <w:div w:id="1667784281">
      <w:bodyDiv w:val="1"/>
      <w:marLeft w:val="0"/>
      <w:marRight w:val="0"/>
      <w:marTop w:val="0"/>
      <w:marBottom w:val="0"/>
      <w:divBdr>
        <w:top w:val="none" w:sz="0" w:space="0" w:color="auto"/>
        <w:left w:val="none" w:sz="0" w:space="0" w:color="auto"/>
        <w:bottom w:val="none" w:sz="0" w:space="0" w:color="auto"/>
        <w:right w:val="none" w:sz="0" w:space="0" w:color="auto"/>
      </w:divBdr>
    </w:div>
    <w:div w:id="1698577251">
      <w:bodyDiv w:val="1"/>
      <w:marLeft w:val="0"/>
      <w:marRight w:val="0"/>
      <w:marTop w:val="0"/>
      <w:marBottom w:val="0"/>
      <w:divBdr>
        <w:top w:val="none" w:sz="0" w:space="0" w:color="auto"/>
        <w:left w:val="none" w:sz="0" w:space="0" w:color="auto"/>
        <w:bottom w:val="none" w:sz="0" w:space="0" w:color="auto"/>
        <w:right w:val="none" w:sz="0" w:space="0" w:color="auto"/>
      </w:divBdr>
    </w:div>
    <w:div w:id="209088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n00982591.pixnet.net/blog/post/95652476-%E8%82%A1%E7%A5%A8%E3%80%81%E7%BE%8E%E5%85%83%E8%88%87%E5%8E%9F%E6%B2%B9%E5%83%B9%E5%92%8C%E9%BB%83%E9%87%91%E7%9A%84%E9%97%9C%E4%BF%82" TargetMode="External"/><Relationship Id="rId5" Type="http://schemas.openxmlformats.org/officeDocument/2006/relationships/hyperlink" Target="http://www.bot.com.tw/publications/quarterly/documents/63_2/63_2_5.pdf" TargetMode="External"/><Relationship Id="rId4" Type="http://schemas.openxmlformats.org/officeDocument/2006/relationships/hyperlink" Target="http://wiki.mbalib.com/zh-tw/%E7%9B%B8%E5%85%B3%E7%B3%BB%E6%95%B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3</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RMT</dc:creator>
  <cp:keywords/>
  <dc:description/>
  <cp:lastModifiedBy>User</cp:lastModifiedBy>
  <cp:revision>5</cp:revision>
  <dcterms:created xsi:type="dcterms:W3CDTF">2018-04-22T03:57:00Z</dcterms:created>
  <dcterms:modified xsi:type="dcterms:W3CDTF">2018-06-01T14:55:00Z</dcterms:modified>
</cp:coreProperties>
</file>