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rFonts w:eastAsia="Calibri" w:cs="Calibri"/>
          <w:b/>
          <w:bCs/>
          <w:color w:val="1B2A4A"/>
          <w:sz w:val="52"/>
          <w:szCs w:val="52"/>
        </w:rPr>
        <w:t>CIVIL SERVANT PROTECT PLAN</w:t>
      </w:r>
    </w:p>
    <w:p>
      <w:pPr>
        <w:pStyle w:val="Normal"/>
        <w:spacing w:before="0" w:after="120"/>
        <w:jc w:val="center"/>
        <w:rPr/>
      </w:pPr>
      <w:r>
        <w:rPr>
          <w:rFonts w:eastAsia="Calibri" w:cs="Calibri"/>
          <w:b/>
          <w:bCs/>
          <w:color w:val="B8860B"/>
          <w:sz w:val="28"/>
          <w:szCs w:val="28"/>
          <w:vertAlign w:val="superscript"/>
        </w:rPr>
        <w:t>™</w:t>
      </w:r>
    </w:p>
    <w:p>
      <w:pPr>
        <w:pStyle w:val="Normal"/>
        <w:pBdr>
          <w:bottom w:val="single" w:sz="12" w:space="10" w:color="B8860B"/>
        </w:pBdr>
        <w:spacing w:before="0" w:after="300"/>
        <w:jc w:val="center"/>
        <w:rPr/>
      </w:pPr>
      <w:r>
        <w:rPr/>
      </w:r>
    </w:p>
    <w:p>
      <w:pPr>
        <w:pStyle w:val="Normal"/>
        <w:spacing w:before="0" w:after="100"/>
        <w:jc w:val="center"/>
        <w:rPr/>
      </w:pPr>
      <w:r>
        <w:rPr>
          <w:rFonts w:eastAsia="Calibri" w:cs="Calibri"/>
          <w:b/>
          <w:bCs/>
          <w:color w:val="333333"/>
          <w:sz w:val="26"/>
          <w:szCs w:val="26"/>
        </w:rPr>
        <w:t>Group Life, Personal Accident &amp; Family Protection Programme</w:t>
      </w:r>
    </w:p>
    <w:p>
      <w:pPr>
        <w:pStyle w:val="Normal"/>
        <w:spacing w:before="0" w:after="500"/>
        <w:jc w:val="center"/>
        <w:rPr/>
      </w:pPr>
      <w:r>
        <w:rPr>
          <w:rFonts w:eastAsia="Calibri" w:cs="Calibri"/>
          <w:i/>
          <w:iCs/>
          <w:color w:val="B8860B"/>
          <w:sz w:val="24"/>
          <w:szCs w:val="24"/>
        </w:rPr>
        <w:t>Protecting Those Who Serve Nigeria</w:t>
      </w:r>
    </w:p>
    <w:p>
      <w:pPr>
        <w:pStyle w:val="Normal"/>
        <w:spacing w:before="0" w:after="500"/>
        <w:jc w:val="center"/>
        <w:rPr/>
      </w:pPr>
      <w:r>
        <w:rPr>
          <w:rFonts w:eastAsia="Calibri" w:cs="Calibri"/>
          <w:b/>
          <w:bCs/>
          <w:color w:val="1B2A4A"/>
          <w:sz w:val="22"/>
          <w:szCs w:val="22"/>
        </w:rPr>
        <w:t>DETAILED PRODUCT &amp; COMMERCIAL PROPOSAL</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Key Facts</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Target Market</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Nigerian Federal, State &amp; Local Government Employees</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Initial Target</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500,000 Participating Employees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Long-Term Target</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1,000,000+ Employees</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Proposed Core Contribution</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 per month  /  ₦30,000 per year</w:t>
            </w:r>
          </w:p>
        </w:tc>
      </w:tr>
    </w:tbl>
    <w:p>
      <w:pPr>
        <w:pStyle w:val="Normal"/>
        <w:spacing w:before="0" w:after="300"/>
        <w:rPr/>
      </w:pPr>
      <w:r>
        <w:rPr/>
      </w:r>
    </w:p>
    <w:tbl>
      <w:tblPr>
        <w:tblW w:w="5000" w:type="pct"/>
        <w:jc w:val="left"/>
        <w:tblInd w:w="0" w:type="dxa"/>
        <w:tblLayout w:type="fixed"/>
        <w:tblCellMar>
          <w:top w:w="150" w:type="dxa"/>
          <w:left w:w="200" w:type="dxa"/>
          <w:bottom w:w="150" w:type="dxa"/>
          <w:right w:w="200" w:type="dxa"/>
        </w:tblCellMar>
      </w:tblPr>
      <w:tblGrid>
        <w:gridCol w:w="9706"/>
      </w:tblGrid>
      <w:tr>
        <w:trPr/>
        <w:tc>
          <w:tcPr>
            <w:tcW w:w="9706" w:type="dxa"/>
            <w:tcBorders>
              <w:top w:val="single" w:sz="4" w:space="0" w:color="B8860B"/>
              <w:left w:val="single" w:sz="4" w:space="0" w:color="B8860B"/>
              <w:bottom w:val="single" w:sz="4" w:space="0" w:color="B8860B"/>
              <w:right w:val="single" w:sz="4" w:space="0" w:color="B8860B"/>
            </w:tcBorders>
            <w:shd w:fill="FBF6E9" w:val="clear"/>
          </w:tcPr>
          <w:p>
            <w:pPr>
              <w:pStyle w:val="Normal"/>
              <w:rPr/>
            </w:pPr>
            <w:r>
              <w:rPr>
                <w:rFonts w:eastAsia="Calibri" w:cs="Calibri"/>
                <w:i/>
                <w:iCs/>
                <w:color w:val="5A4A00"/>
                <w:sz w:val="20"/>
                <w:szCs w:val="20"/>
              </w:rPr>
              <w:t>Status: Product-development concept subject to actuarial, legal, regulatory and underwriting validation.</w:t>
            </w:r>
          </w:p>
        </w:tc>
      </w:tr>
    </w:tbl>
    <w:p>
      <w:pPr>
        <w:pStyle w:val="Normal"/>
        <w:rPr/>
      </w:pPr>
      <w:r>
        <w:rPr/>
      </w:r>
      <w:r>
        <w:br w:type="page"/>
      </w:r>
    </w:p>
    <w:p>
      <w:pPr>
        <w:pStyle w:val="Heading1"/>
        <w:spacing w:before="0" w:after="200"/>
        <w:rPr/>
      </w:pPr>
      <w:bookmarkStart w:id="0" w:name="__RefHeading___Toc1285_2706045912"/>
      <w:bookmarkEnd w:id="0"/>
      <w:r>
        <w:rPr>
          <w:rFonts w:eastAsia="Calibri" w:cs="Calibri" w:ascii="Calibri" w:hAnsi="Calibri"/>
          <w:b/>
          <w:bCs/>
          <w:color w:val="1B2A4A"/>
          <w:sz w:val="30"/>
          <w:szCs w:val="30"/>
        </w:rPr>
        <w:t>Table of Contents</w:t>
      </w:r>
    </w:p>
    <w:sdt>
      <w:sdtPr>
        <w:docPartObj>
          <w:docPartGallery w:val="Table of Contents"/>
          <w:docPartUnique w:val="true"/>
        </w:docPartObj>
      </w:sdtPr>
      <w:sdtContent>
        <w:p>
          <w:pPr>
            <w:pStyle w:val="TOC1"/>
            <w:tabs>
              <w:tab w:val="clear" w:pos="9706"/>
              <w:tab w:val="right" w:pos="9705" w:leader="dot"/>
            </w:tabs>
            <w:rPr/>
          </w:pPr>
          <w:r>
            <w:fldChar w:fldCharType="begin"/>
          </w:r>
          <w:r>
            <w:rPr>
              <w:rStyle w:val="IndexLink"/>
            </w:rPr>
            <w:instrText xml:space="preserve"> TOC \o "1-2" \h</w:instrText>
          </w:r>
          <w:r>
            <w:rPr>
              <w:rStyle w:val="IndexLink"/>
            </w:rPr>
            <w:fldChar w:fldCharType="separate"/>
          </w:r>
          <w:hyperlink w:anchor="__RefHeading___Toc1285_2706045912">
            <w:r>
              <w:rPr>
                <w:rStyle w:val="IndexLink"/>
              </w:rPr>
              <w:t>Table of Contents</w:t>
              <w:tab/>
              <w:t>2</w:t>
            </w:r>
          </w:hyperlink>
        </w:p>
        <w:p>
          <w:pPr>
            <w:pStyle w:val="TOC1"/>
            <w:tabs>
              <w:tab w:val="clear" w:pos="9706"/>
              <w:tab w:val="right" w:pos="9705" w:leader="dot"/>
            </w:tabs>
            <w:rPr/>
          </w:pPr>
          <w:hyperlink w:anchor="__RefHeading___Toc1287_2706045912">
            <w:r>
              <w:rPr>
                <w:rStyle w:val="IndexLink"/>
              </w:rPr>
              <w:t>1. Executive Summary</w:t>
              <w:tab/>
              <w:t>3</w:t>
            </w:r>
          </w:hyperlink>
        </w:p>
        <w:p>
          <w:pPr>
            <w:pStyle w:val="TOC1"/>
            <w:tabs>
              <w:tab w:val="clear" w:pos="9706"/>
              <w:tab w:val="right" w:pos="9705" w:leader="dot"/>
            </w:tabs>
            <w:rPr/>
          </w:pPr>
          <w:hyperlink w:anchor="__RefHeading___Toc1289_2706045912">
            <w:r>
              <w:rPr>
                <w:rStyle w:val="IndexLink"/>
              </w:rPr>
              <w:t>2. Product Vision &amp; Mission</w:t>
              <w:tab/>
              <w:t>3</w:t>
            </w:r>
          </w:hyperlink>
        </w:p>
        <w:p>
          <w:pPr>
            <w:pStyle w:val="TOC1"/>
            <w:tabs>
              <w:tab w:val="clear" w:pos="9706"/>
              <w:tab w:val="right" w:pos="9705" w:leader="dot"/>
            </w:tabs>
            <w:rPr/>
          </w:pPr>
          <w:hyperlink w:anchor="__RefHeading___Toc1291_2706045912">
            <w:r>
              <w:rPr>
                <w:rStyle w:val="IndexLink"/>
              </w:rPr>
              <w:t>3. The Problem the Plan Addresses</w:t>
              <w:tab/>
              <w:t>3</w:t>
            </w:r>
          </w:hyperlink>
        </w:p>
        <w:p>
          <w:pPr>
            <w:pStyle w:val="TOC1"/>
            <w:tabs>
              <w:tab w:val="clear" w:pos="9706"/>
              <w:tab w:val="right" w:pos="9705" w:leader="dot"/>
            </w:tabs>
            <w:rPr/>
          </w:pPr>
          <w:hyperlink w:anchor="__RefHeading___Toc1293_2706045912">
            <w:r>
              <w:rPr>
                <w:rStyle w:val="IndexLink"/>
              </w:rPr>
              <w:t>4. Product Positioning</w:t>
              <w:tab/>
              <w:t>3</w:t>
            </w:r>
          </w:hyperlink>
        </w:p>
        <w:p>
          <w:pPr>
            <w:pStyle w:val="TOC1"/>
            <w:tabs>
              <w:tab w:val="clear" w:pos="9706"/>
              <w:tab w:val="right" w:pos="9705" w:leader="dot"/>
            </w:tabs>
            <w:rPr/>
          </w:pPr>
          <w:hyperlink w:anchor="__RefHeading___Toc1295_2706045912">
            <w:r>
              <w:rPr>
                <w:rStyle w:val="IndexLink"/>
              </w:rPr>
              <w:t>5. Target Market</w:t>
              <w:tab/>
              <w:t>3</w:t>
            </w:r>
          </w:hyperlink>
        </w:p>
        <w:p>
          <w:pPr>
            <w:pStyle w:val="TOC1"/>
            <w:tabs>
              <w:tab w:val="clear" w:pos="9706"/>
              <w:tab w:val="right" w:pos="9705" w:leader="dot"/>
            </w:tabs>
            <w:rPr/>
          </w:pPr>
          <w:hyperlink w:anchor="__RefHeading___Toc1297_2706045912">
            <w:r>
              <w:rPr>
                <w:rStyle w:val="IndexLink"/>
              </w:rPr>
              <w:t>6. Core Contribution</w:t>
              <w:tab/>
              <w:t>4</w:t>
            </w:r>
          </w:hyperlink>
        </w:p>
        <w:p>
          <w:pPr>
            <w:pStyle w:val="TOC1"/>
            <w:tabs>
              <w:tab w:val="clear" w:pos="9706"/>
              <w:tab w:val="right" w:pos="9705" w:leader="dot"/>
            </w:tabs>
            <w:rPr/>
          </w:pPr>
          <w:hyperlink w:anchor="__RefHeading___Toc1299_2706045912">
            <w:r>
              <w:rPr>
                <w:rStyle w:val="IndexLink"/>
              </w:rPr>
              <w:t>7. Standard Civil Servant Protect Plan — Benefit Schedule</w:t>
              <w:tab/>
              <w:t>4</w:t>
            </w:r>
          </w:hyperlink>
        </w:p>
        <w:p>
          <w:pPr>
            <w:pStyle w:val="TOC1"/>
            <w:tabs>
              <w:tab w:val="clear" w:pos="9706"/>
              <w:tab w:val="right" w:pos="9705" w:leader="dot"/>
            </w:tabs>
            <w:rPr/>
          </w:pPr>
          <w:hyperlink w:anchor="__RefHeading___Toc1301_2706045912">
            <w:r>
              <w:rPr>
                <w:rStyle w:val="IndexLink"/>
              </w:rPr>
              <w:t>8. Optional Protection Tiers</w:t>
              <w:tab/>
              <w:t>4</w:t>
            </w:r>
          </w:hyperlink>
        </w:p>
        <w:p>
          <w:pPr>
            <w:pStyle w:val="TOC1"/>
            <w:tabs>
              <w:tab w:val="clear" w:pos="9706"/>
              <w:tab w:val="right" w:pos="9705" w:leader="dot"/>
            </w:tabs>
            <w:rPr/>
          </w:pPr>
          <w:hyperlink w:anchor="__RefHeading___Toc1303_2706045912">
            <w:r>
              <w:rPr>
                <w:rStyle w:val="IndexLink"/>
              </w:rPr>
              <w:t>9. Benefit Mechanics &amp; Examples</w:t>
              <w:tab/>
              <w:t>5</w:t>
            </w:r>
          </w:hyperlink>
        </w:p>
        <w:p>
          <w:pPr>
            <w:pStyle w:val="TOC2"/>
            <w:tabs>
              <w:tab w:val="clear" w:pos="9423"/>
              <w:tab w:val="right" w:pos="9705" w:leader="dot"/>
            </w:tabs>
            <w:rPr/>
          </w:pPr>
          <w:hyperlink w:anchor="__RefHeading___Toc1305_2706045912">
            <w:r>
              <w:rPr>
                <w:rStyle w:val="IndexLink"/>
              </w:rPr>
              <w:t>9.1 Natural Death</w:t>
              <w:tab/>
              <w:t>5</w:t>
            </w:r>
          </w:hyperlink>
        </w:p>
        <w:p>
          <w:pPr>
            <w:pStyle w:val="TOC2"/>
            <w:tabs>
              <w:tab w:val="clear" w:pos="9423"/>
              <w:tab w:val="right" w:pos="9705" w:leader="dot"/>
            </w:tabs>
            <w:rPr/>
          </w:pPr>
          <w:hyperlink w:anchor="__RefHeading___Toc1307_2706045912">
            <w:r>
              <w:rPr>
                <w:rStyle w:val="IndexLink"/>
              </w:rPr>
              <w:t>9.2 Accidental Death</w:t>
              <w:tab/>
              <w:t>5</w:t>
            </w:r>
          </w:hyperlink>
        </w:p>
        <w:p>
          <w:pPr>
            <w:pStyle w:val="TOC2"/>
            <w:tabs>
              <w:tab w:val="clear" w:pos="9423"/>
              <w:tab w:val="right" w:pos="9705" w:leader="dot"/>
            </w:tabs>
            <w:rPr/>
          </w:pPr>
          <w:hyperlink w:anchor="__RefHeading___Toc1309_2706045912">
            <w:r>
              <w:rPr>
                <w:rStyle w:val="IndexLink"/>
              </w:rPr>
              <w:t>9.3 Permanent Disability</w:t>
              <w:tab/>
              <w:t>5</w:t>
            </w:r>
          </w:hyperlink>
        </w:p>
        <w:p>
          <w:pPr>
            <w:pStyle w:val="TOC2"/>
            <w:tabs>
              <w:tab w:val="clear" w:pos="9423"/>
              <w:tab w:val="right" w:pos="9705" w:leader="dot"/>
            </w:tabs>
            <w:rPr/>
          </w:pPr>
          <w:hyperlink w:anchor="__RefHeading___Toc1311_2706045912">
            <w:r>
              <w:rPr>
                <w:rStyle w:val="IndexLink"/>
              </w:rPr>
              <w:t>9.4 Temporary Disability</w:t>
              <w:tab/>
              <w:t>5</w:t>
            </w:r>
          </w:hyperlink>
        </w:p>
        <w:p>
          <w:pPr>
            <w:pStyle w:val="TOC2"/>
            <w:tabs>
              <w:tab w:val="clear" w:pos="9423"/>
              <w:tab w:val="right" w:pos="9705" w:leader="dot"/>
            </w:tabs>
            <w:rPr/>
          </w:pPr>
          <w:hyperlink w:anchor="__RefHeading___Toc1313_2706045912">
            <w:r>
              <w:rPr>
                <w:rStyle w:val="IndexLink"/>
              </w:rPr>
              <w:t>9.5 Accident Medical Expenses</w:t>
              <w:tab/>
              <w:t>5</w:t>
            </w:r>
          </w:hyperlink>
        </w:p>
        <w:p>
          <w:pPr>
            <w:pStyle w:val="TOC2"/>
            <w:tabs>
              <w:tab w:val="clear" w:pos="9423"/>
              <w:tab w:val="right" w:pos="9705" w:leader="dot"/>
            </w:tabs>
            <w:rPr/>
          </w:pPr>
          <w:hyperlink w:anchor="__RefHeading___Toc1315_2706045912">
            <w:r>
              <w:rPr>
                <w:rStyle w:val="IndexLink"/>
              </w:rPr>
              <w:t>9.6 Funeral Assistance</w:t>
              <w:tab/>
              <w:t>6</w:t>
            </w:r>
          </w:hyperlink>
        </w:p>
        <w:p>
          <w:pPr>
            <w:pStyle w:val="TOC2"/>
            <w:tabs>
              <w:tab w:val="clear" w:pos="9423"/>
              <w:tab w:val="right" w:pos="9705" w:leader="dot"/>
            </w:tabs>
            <w:rPr/>
          </w:pPr>
          <w:hyperlink w:anchor="__RefHeading___Toc1317_2706045912">
            <w:r>
              <w:rPr>
                <w:rStyle w:val="IndexLink"/>
              </w:rPr>
              <w:t>9.7 Children's Education Support</w:t>
              <w:tab/>
              <w:t>6</w:t>
            </w:r>
          </w:hyperlink>
        </w:p>
        <w:p>
          <w:pPr>
            <w:pStyle w:val="TOC1"/>
            <w:tabs>
              <w:tab w:val="clear" w:pos="9706"/>
              <w:tab w:val="right" w:pos="9705" w:leader="dot"/>
            </w:tabs>
            <w:rPr/>
          </w:pPr>
          <w:hyperlink w:anchor="__RefHeading___Toc1319_2706045912">
            <w:r>
              <w:rPr>
                <w:rStyle w:val="IndexLink"/>
              </w:rPr>
              <w:t>10. Family Protection Top-Up</w:t>
              <w:tab/>
              <w:t>6</w:t>
            </w:r>
          </w:hyperlink>
        </w:p>
        <w:p>
          <w:pPr>
            <w:pStyle w:val="TOC1"/>
            <w:tabs>
              <w:tab w:val="clear" w:pos="9706"/>
              <w:tab w:val="right" w:pos="9705" w:leader="dot"/>
            </w:tabs>
            <w:rPr/>
          </w:pPr>
          <w:hyperlink w:anchor="__RefHeading___Toc1321_2706045912">
            <w:r>
              <w:rPr>
                <w:rStyle w:val="IndexLink"/>
              </w:rPr>
              <w:t>11. Eligibility</w:t>
              <w:tab/>
              <w:t>6</w:t>
            </w:r>
          </w:hyperlink>
        </w:p>
        <w:p>
          <w:pPr>
            <w:pStyle w:val="TOC1"/>
            <w:tabs>
              <w:tab w:val="clear" w:pos="9706"/>
              <w:tab w:val="right" w:pos="9705" w:leader="dot"/>
            </w:tabs>
            <w:rPr/>
          </w:pPr>
          <w:hyperlink w:anchor="__RefHeading___Toc1323_2706045912">
            <w:r>
              <w:rPr>
                <w:rStyle w:val="IndexLink"/>
              </w:rPr>
              <w:t>12. Scope of Protection</w:t>
              <w:tab/>
              <w:t>6</w:t>
            </w:r>
          </w:hyperlink>
        </w:p>
        <w:p>
          <w:pPr>
            <w:pStyle w:val="TOC1"/>
            <w:tabs>
              <w:tab w:val="clear" w:pos="9706"/>
              <w:tab w:val="right" w:pos="9705" w:leader="dot"/>
            </w:tabs>
            <w:rPr/>
          </w:pPr>
          <w:hyperlink w:anchor="__RefHeading___Toc1325_2706045912">
            <w:r>
              <w:rPr>
                <w:rStyle w:val="IndexLink"/>
              </w:rPr>
              <w:t>13. Key Exclusions</w:t>
              <w:tab/>
              <w:t>6</w:t>
            </w:r>
          </w:hyperlink>
        </w:p>
        <w:p>
          <w:pPr>
            <w:pStyle w:val="TOC1"/>
            <w:tabs>
              <w:tab w:val="clear" w:pos="9706"/>
              <w:tab w:val="right" w:pos="9705" w:leader="dot"/>
            </w:tabs>
            <w:rPr/>
          </w:pPr>
          <w:hyperlink w:anchor="__RefHeading___Toc1327_2706045912">
            <w:r>
              <w:rPr>
                <w:rStyle w:val="IndexLink"/>
              </w:rPr>
              <w:t>14. Claims Process</w:t>
              <w:tab/>
              <w:t>7</w:t>
            </w:r>
          </w:hyperlink>
        </w:p>
        <w:p>
          <w:pPr>
            <w:pStyle w:val="TOC1"/>
            <w:tabs>
              <w:tab w:val="clear" w:pos="9706"/>
              <w:tab w:val="right" w:pos="9705" w:leader="dot"/>
            </w:tabs>
            <w:rPr/>
          </w:pPr>
          <w:hyperlink w:anchor="__RefHeading___Toc1329_2706045912">
            <w:r>
              <w:rPr>
                <w:rStyle w:val="IndexLink"/>
              </w:rPr>
              <w:t>15. Proposed Claims Service Standards</w:t>
              <w:tab/>
              <w:t>7</w:t>
            </w:r>
          </w:hyperlink>
        </w:p>
        <w:p>
          <w:pPr>
            <w:pStyle w:val="TOC1"/>
            <w:tabs>
              <w:tab w:val="clear" w:pos="9706"/>
              <w:tab w:val="right" w:pos="9705" w:leader="dot"/>
            </w:tabs>
            <w:rPr/>
          </w:pPr>
          <w:hyperlink w:anchor="__RefHeading___Toc1331_2706045912">
            <w:r>
              <w:rPr>
                <w:rStyle w:val="IndexLink"/>
              </w:rPr>
              <w:t>16. Digital Protection Platform</w:t>
              <w:tab/>
              <w:t>7</w:t>
            </w:r>
          </w:hyperlink>
        </w:p>
        <w:p>
          <w:pPr>
            <w:pStyle w:val="TOC1"/>
            <w:tabs>
              <w:tab w:val="clear" w:pos="9706"/>
              <w:tab w:val="right" w:pos="9705" w:leader="dot"/>
            </w:tabs>
            <w:rPr/>
          </w:pPr>
          <w:hyperlink w:anchor="__RefHeading___Toc1333_2706045912">
            <w:r>
              <w:rPr>
                <w:rStyle w:val="IndexLink"/>
              </w:rPr>
              <w:t>17. Claims Transparency</w:t>
              <w:tab/>
              <w:t>8</w:t>
            </w:r>
          </w:hyperlink>
        </w:p>
        <w:p>
          <w:pPr>
            <w:pStyle w:val="TOC1"/>
            <w:tabs>
              <w:tab w:val="clear" w:pos="9706"/>
              <w:tab w:val="right" w:pos="9705" w:leader="dot"/>
            </w:tabs>
            <w:rPr/>
          </w:pPr>
          <w:hyperlink w:anchor="__RefHeading___Toc1335_2706045912">
            <w:r>
              <w:rPr>
                <w:rStyle w:val="IndexLink"/>
              </w:rPr>
              <w:t>18. Distribution Model</w:t>
              <w:tab/>
              <w:t>8</w:t>
            </w:r>
          </w:hyperlink>
        </w:p>
        <w:p>
          <w:pPr>
            <w:pStyle w:val="TOC1"/>
            <w:tabs>
              <w:tab w:val="clear" w:pos="9706"/>
              <w:tab w:val="right" w:pos="9705" w:leader="dot"/>
            </w:tabs>
            <w:rPr/>
          </w:pPr>
          <w:hyperlink w:anchor="__RefHeading___Toc1337_2706045912">
            <w:r>
              <w:rPr>
                <w:rStyle w:val="IndexLink"/>
              </w:rPr>
              <w:t>19. Government Value Proposition</w:t>
              <w:tab/>
              <w:t>8</w:t>
            </w:r>
          </w:hyperlink>
        </w:p>
        <w:p>
          <w:pPr>
            <w:pStyle w:val="TOC1"/>
            <w:tabs>
              <w:tab w:val="clear" w:pos="9706"/>
              <w:tab w:val="right" w:pos="9705" w:leader="dot"/>
            </w:tabs>
            <w:rPr/>
          </w:pPr>
          <w:hyperlink w:anchor="__RefHeading___Toc1339_2706045912">
            <w:r>
              <w:rPr>
                <w:rStyle w:val="IndexLink"/>
              </w:rPr>
              <w:t>20. Employee Value Proposition</w:t>
              <w:tab/>
              <w:t>8</w:t>
            </w:r>
          </w:hyperlink>
        </w:p>
        <w:p>
          <w:pPr>
            <w:pStyle w:val="TOC1"/>
            <w:tabs>
              <w:tab w:val="clear" w:pos="9706"/>
              <w:tab w:val="right" w:pos="9705" w:leader="dot"/>
            </w:tabs>
            <w:rPr/>
          </w:pPr>
          <w:hyperlink w:anchor="__RefHeading___Toc1341_2706045912">
            <w:r>
              <w:rPr>
                <w:rStyle w:val="IndexLink"/>
              </w:rPr>
              <w:t>21. Revenue &amp; Scale Model</w:t>
              <w:tab/>
              <w:t>9</w:t>
            </w:r>
          </w:hyperlink>
        </w:p>
        <w:p>
          <w:pPr>
            <w:pStyle w:val="TOC1"/>
            <w:tabs>
              <w:tab w:val="clear" w:pos="9706"/>
              <w:tab w:val="right" w:pos="9705" w:leader="dot"/>
            </w:tabs>
            <w:rPr/>
          </w:pPr>
          <w:hyperlink w:anchor="__RefHeading___Toc1343_2706045912">
            <w:r>
              <w:rPr>
                <w:rStyle w:val="IndexLink"/>
              </w:rPr>
              <w:t>22. Three-Year Growth Projection</w:t>
              <w:tab/>
              <w:t>9</w:t>
            </w:r>
          </w:hyperlink>
        </w:p>
        <w:p>
          <w:pPr>
            <w:pStyle w:val="TOC1"/>
            <w:tabs>
              <w:tab w:val="clear" w:pos="9706"/>
              <w:tab w:val="right" w:pos="9705" w:leader="dot"/>
            </w:tabs>
            <w:rPr/>
          </w:pPr>
          <w:hyperlink w:anchor="__RefHeading___Toc1345_2706045912">
            <w:r>
              <w:rPr>
                <w:rStyle w:val="IndexLink"/>
              </w:rPr>
              <w:t>23. Illustrative Financial Model</w:t>
              <w:tab/>
              <w:t>9</w:t>
            </w:r>
          </w:hyperlink>
        </w:p>
        <w:p>
          <w:pPr>
            <w:pStyle w:val="TOC1"/>
            <w:tabs>
              <w:tab w:val="clear" w:pos="9706"/>
              <w:tab w:val="right" w:pos="9705" w:leader="dot"/>
            </w:tabs>
            <w:rPr/>
          </w:pPr>
          <w:hyperlink w:anchor="__RefHeading___Toc1347_2706045912">
            <w:r>
              <w:rPr>
                <w:rStyle w:val="IndexLink"/>
              </w:rPr>
              <w:t>24. Claims-Ratio Sensitivity</w:t>
              <w:tab/>
              <w:t>9</w:t>
            </w:r>
          </w:hyperlink>
        </w:p>
        <w:p>
          <w:pPr>
            <w:pStyle w:val="TOC1"/>
            <w:tabs>
              <w:tab w:val="clear" w:pos="9706"/>
              <w:tab w:val="right" w:pos="9705" w:leader="dot"/>
            </w:tabs>
            <w:rPr/>
          </w:pPr>
          <w:hyperlink w:anchor="__RefHeading___Toc1349_2706045912">
            <w:r>
              <w:rPr>
                <w:rStyle w:val="IndexLink"/>
              </w:rPr>
              <w:t>25. Illustrative 100-Claim Month</w:t>
              <w:tab/>
              <w:t>10</w:t>
            </w:r>
          </w:hyperlink>
        </w:p>
        <w:p>
          <w:pPr>
            <w:pStyle w:val="TOC1"/>
            <w:tabs>
              <w:tab w:val="clear" w:pos="9706"/>
              <w:tab w:val="right" w:pos="9705" w:leader="dot"/>
            </w:tabs>
            <w:rPr/>
          </w:pPr>
          <w:hyperlink w:anchor="__RefHeading___Toc1351_2706045912">
            <w:r>
              <w:rPr>
                <w:rStyle w:val="IndexLink"/>
              </w:rPr>
              <w:t>26. Actuarial &amp; Pricing Assumptions</w:t>
              <w:tab/>
              <w:t>10</w:t>
            </w:r>
          </w:hyperlink>
        </w:p>
        <w:p>
          <w:pPr>
            <w:pStyle w:val="TOC1"/>
            <w:tabs>
              <w:tab w:val="clear" w:pos="9706"/>
              <w:tab w:val="right" w:pos="9705" w:leader="dot"/>
            </w:tabs>
            <w:rPr/>
          </w:pPr>
          <w:hyperlink w:anchor="__RefHeading___Toc1353_2706045912">
            <w:r>
              <w:rPr>
                <w:rStyle w:val="IndexLink"/>
              </w:rPr>
              <w:t>27. Experience Rating</w:t>
              <w:tab/>
              <w:t>11</w:t>
            </w:r>
          </w:hyperlink>
        </w:p>
        <w:p>
          <w:pPr>
            <w:pStyle w:val="TOC1"/>
            <w:tabs>
              <w:tab w:val="clear" w:pos="9706"/>
              <w:tab w:val="right" w:pos="9705" w:leader="dot"/>
            </w:tabs>
            <w:rPr/>
          </w:pPr>
          <w:hyperlink w:anchor="__RefHeading___Toc1355_2706045912">
            <w:r>
              <w:rPr>
                <w:rStyle w:val="IndexLink"/>
              </w:rPr>
              <w:t>28. Reinsurance Strategy</w:t>
              <w:tab/>
              <w:t>11</w:t>
            </w:r>
          </w:hyperlink>
        </w:p>
        <w:p>
          <w:pPr>
            <w:pStyle w:val="TOC1"/>
            <w:tabs>
              <w:tab w:val="clear" w:pos="9706"/>
              <w:tab w:val="right" w:pos="9705" w:leader="dot"/>
            </w:tabs>
            <w:rPr/>
          </w:pPr>
          <w:hyperlink w:anchor="__RefHeading___Toc1357_2706045912">
            <w:r>
              <w:rPr>
                <w:rStyle w:val="IndexLink"/>
              </w:rPr>
              <w:t>29. Risk Management</w:t>
              <w:tab/>
              <w:t>11</w:t>
            </w:r>
          </w:hyperlink>
        </w:p>
        <w:p>
          <w:pPr>
            <w:pStyle w:val="TOC1"/>
            <w:tabs>
              <w:tab w:val="clear" w:pos="9706"/>
              <w:tab w:val="right" w:pos="9705" w:leader="dot"/>
            </w:tabs>
            <w:rPr/>
          </w:pPr>
          <w:hyperlink w:anchor="__RefHeading___Toc1359_2706045912">
            <w:r>
              <w:rPr>
                <w:rStyle w:val="IndexLink"/>
              </w:rPr>
              <w:t>30. Data &amp; Privacy</w:t>
              <w:tab/>
              <w:t>11</w:t>
            </w:r>
          </w:hyperlink>
        </w:p>
        <w:p>
          <w:pPr>
            <w:pStyle w:val="TOC1"/>
            <w:tabs>
              <w:tab w:val="clear" w:pos="9706"/>
              <w:tab w:val="right" w:pos="9705" w:leader="dot"/>
            </w:tabs>
            <w:rPr/>
          </w:pPr>
          <w:hyperlink w:anchor="__RefHeading___Toc1361_2706045912">
            <w:r>
              <w:rPr>
                <w:rStyle w:val="IndexLink"/>
              </w:rPr>
              <w:t>31. Governance Structure</w:t>
              <w:tab/>
              <w:t>11</w:t>
            </w:r>
          </w:hyperlink>
        </w:p>
        <w:p>
          <w:pPr>
            <w:pStyle w:val="TOC1"/>
            <w:tabs>
              <w:tab w:val="clear" w:pos="9706"/>
              <w:tab w:val="right" w:pos="9705" w:leader="dot"/>
            </w:tabs>
            <w:rPr/>
          </w:pPr>
          <w:hyperlink w:anchor="__RefHeading___Toc1363_2706045912">
            <w:r>
              <w:rPr>
                <w:rStyle w:val="IndexLink"/>
              </w:rPr>
              <w:t>32. Key Performance Indicators</w:t>
              <w:tab/>
              <w:t>12</w:t>
            </w:r>
          </w:hyperlink>
        </w:p>
        <w:p>
          <w:pPr>
            <w:pStyle w:val="TOC1"/>
            <w:tabs>
              <w:tab w:val="clear" w:pos="9706"/>
              <w:tab w:val="right" w:pos="9705" w:leader="dot"/>
            </w:tabs>
            <w:rPr/>
          </w:pPr>
          <w:hyperlink w:anchor="__RefHeading___Toc1365_2706045912">
            <w:r>
              <w:rPr>
                <w:rStyle w:val="IndexLink"/>
              </w:rPr>
              <w:t>33. Pilot Programme</w:t>
              <w:tab/>
              <w:t>12</w:t>
            </w:r>
          </w:hyperlink>
        </w:p>
        <w:p>
          <w:pPr>
            <w:pStyle w:val="TOC1"/>
            <w:tabs>
              <w:tab w:val="clear" w:pos="9706"/>
              <w:tab w:val="right" w:pos="9705" w:leader="dot"/>
            </w:tabs>
            <w:rPr/>
          </w:pPr>
          <w:hyperlink w:anchor="__RefHeading___Toc1367_2706045912">
            <w:r>
              <w:rPr>
                <w:rStyle w:val="IndexLink"/>
              </w:rPr>
              <w:t>34. Implementation Roadmap</w:t>
              <w:tab/>
              <w:t>12</w:t>
            </w:r>
          </w:hyperlink>
        </w:p>
        <w:p>
          <w:pPr>
            <w:pStyle w:val="TOC1"/>
            <w:tabs>
              <w:tab w:val="clear" w:pos="9706"/>
              <w:tab w:val="right" w:pos="9705" w:leader="dot"/>
            </w:tabs>
            <w:rPr/>
          </w:pPr>
          <w:hyperlink w:anchor="__RefHeading___Toc1369_2706045912">
            <w:r>
              <w:rPr>
                <w:rStyle w:val="IndexLink"/>
              </w:rPr>
              <w:t>35. Long-Term Expansion</w:t>
              <w:tab/>
              <w:t>13</w:t>
            </w:r>
          </w:hyperlink>
        </w:p>
        <w:p>
          <w:pPr>
            <w:pStyle w:val="TOC1"/>
            <w:tabs>
              <w:tab w:val="clear" w:pos="9706"/>
              <w:tab w:val="right" w:pos="9705" w:leader="dot"/>
            </w:tabs>
            <w:rPr/>
          </w:pPr>
          <w:hyperlink w:anchor="__RefHeading___Toc1371_2706045912">
            <w:r>
              <w:rPr>
                <w:rStyle w:val="IndexLink"/>
              </w:rPr>
              <w:t>36. Strategic Differentiator</w:t>
              <w:tab/>
              <w:t>13</w:t>
            </w:r>
          </w:hyperlink>
        </w:p>
        <w:p>
          <w:pPr>
            <w:pStyle w:val="TOC1"/>
            <w:tabs>
              <w:tab w:val="clear" w:pos="9706"/>
              <w:tab w:val="right" w:pos="9705" w:leader="dot"/>
            </w:tabs>
            <w:rPr/>
          </w:pPr>
          <w:hyperlink w:anchor="__RefHeading___Toc1373_2706045912">
            <w:r>
              <w:rPr>
                <w:rStyle w:val="IndexLink"/>
              </w:rPr>
              <w:t>37. Regulatory &amp; Commercial Framework</w:t>
              <w:tab/>
              <w:t>13</w:t>
            </w:r>
          </w:hyperlink>
        </w:p>
        <w:p>
          <w:pPr>
            <w:pStyle w:val="TOC1"/>
            <w:tabs>
              <w:tab w:val="clear" w:pos="9706"/>
              <w:tab w:val="right" w:pos="9705" w:leader="dot"/>
            </w:tabs>
            <w:rPr/>
          </w:pPr>
          <w:hyperlink w:anchor="__RefHeading___Toc1375_2706045912">
            <w:r>
              <w:rPr>
                <w:rStyle w:val="IndexLink"/>
              </w:rPr>
              <w:t>38. Final Commercial Proposition</w:t>
              <w:tab/>
              <w:t>14</w:t>
            </w:r>
          </w:hyperlink>
        </w:p>
        <w:p>
          <w:pPr>
            <w:pStyle w:val="TOC1"/>
            <w:tabs>
              <w:tab w:val="clear" w:pos="9706"/>
              <w:tab w:val="right" w:pos="9705" w:leader="dot"/>
            </w:tabs>
            <w:rPr/>
          </w:pPr>
          <w:hyperlink w:anchor="__RefHeading___Toc1377_2706045912">
            <w:r>
              <w:rPr>
                <w:rStyle w:val="IndexLink"/>
              </w:rPr>
              <w:t>39. Important Product Development Note</w:t>
              <w:tab/>
              <w:t>14</w:t>
            </w:r>
          </w:hyperlink>
          <w:r>
            <w:rPr>
              <w:rStyle w:val="IndexLink"/>
            </w:rPr>
            <w:fldChar w:fldCharType="end"/>
          </w:r>
        </w:p>
      </w:sdtContent>
    </w:sdt>
    <w:p>
      <w:pPr>
        <w:pStyle w:val="Normal"/>
        <w:rPr/>
      </w:pPr>
      <w:r>
        <w:rPr/>
      </w:r>
    </w:p>
    <w:p>
      <w:pPr>
        <w:pStyle w:val="Normal"/>
        <w:rPr/>
      </w:pPr>
      <w:r>
        <w:rPr/>
      </w:r>
      <w:r>
        <w:br w:type="page"/>
      </w:r>
    </w:p>
    <w:p>
      <w:pPr>
        <w:pStyle w:val="Heading1"/>
        <w:pBdr>
          <w:bottom w:val="single" w:sz="6" w:space="4" w:color="B8860B"/>
        </w:pBdr>
        <w:spacing w:before="0" w:after="200"/>
        <w:rPr/>
      </w:pPr>
      <w:bookmarkStart w:id="1" w:name="__RefHeading___Toc1287_2706045912"/>
      <w:bookmarkEnd w:id="1"/>
      <w:r>
        <w:rPr>
          <w:rFonts w:eastAsia="Calibri" w:cs="Calibri" w:ascii="Calibri" w:hAnsi="Calibri"/>
          <w:b/>
          <w:bCs/>
          <w:color w:val="1B2A4A"/>
          <w:sz w:val="30"/>
          <w:szCs w:val="30"/>
        </w:rPr>
        <w:t>1. Executive Summary</w:t>
      </w:r>
    </w:p>
    <w:p>
      <w:pPr>
        <w:pStyle w:val="Normal"/>
        <w:spacing w:lineRule="exact" w:line="276" w:before="0" w:after="160"/>
        <w:rPr/>
      </w:pPr>
      <w:r>
        <w:rPr>
          <w:rFonts w:eastAsia="Calibri" w:cs="Calibri"/>
          <w:b w:val="false"/>
          <w:bCs w:val="false"/>
          <w:i w:val="false"/>
          <w:iCs w:val="false"/>
          <w:color w:val="333333"/>
          <w:sz w:val="21"/>
          <w:szCs w:val="21"/>
        </w:rPr>
        <w:t>Civil Servant Protect Plan™ is a comprehensive employee and family protection programme designed specifically for Nigerian civil servants. It combines life protection, personal accident protection, permanent and temporary disability support, accident-related medical expenses, funeral assistance, children's education support and emergency assistance within one simple payroll-friendly programme.</w:t>
      </w:r>
    </w:p>
    <w:p>
      <w:pPr>
        <w:pStyle w:val="Normal"/>
        <w:spacing w:lineRule="exact" w:line="276" w:before="0" w:after="160"/>
        <w:rPr/>
      </w:pPr>
      <w:r>
        <w:rPr>
          <w:rFonts w:eastAsia="Calibri" w:cs="Calibri"/>
          <w:b w:val="false"/>
          <w:bCs w:val="false"/>
          <w:i w:val="false"/>
          <w:iCs w:val="false"/>
          <w:color w:val="333333"/>
          <w:sz w:val="21"/>
          <w:szCs w:val="21"/>
        </w:rPr>
        <w:t>The recommended flagship contribution is ₦2,500 per month. The objective is to create a protection plan that is affordable for a mass public-sector workforce while providing meaningful financial support to employees and their families.</w:t>
      </w:r>
    </w:p>
    <w:p>
      <w:pPr>
        <w:pStyle w:val="Normal"/>
        <w:spacing w:lineRule="exact" w:line="276" w:before="0" w:after="160"/>
        <w:rPr/>
      </w:pPr>
      <w:r>
        <w:rPr>
          <w:rFonts w:eastAsia="Calibri" w:cs="Calibri"/>
          <w:b w:val="false"/>
          <w:bCs w:val="false"/>
          <w:i w:val="false"/>
          <w:iCs w:val="false"/>
          <w:color w:val="333333"/>
          <w:sz w:val="21"/>
          <w:szCs w:val="21"/>
        </w:rPr>
        <w:t>The programme should be positioned as a supplementary/enhancement protection arrangement and structured with an appropriately licensed Nigerian provider so that it complements any existing government employee benefits.</w:t>
      </w:r>
    </w:p>
    <w:p>
      <w:pPr>
        <w:pStyle w:val="Heading1"/>
        <w:pBdr>
          <w:bottom w:val="single" w:sz="6" w:space="4" w:color="B8860B"/>
        </w:pBdr>
        <w:spacing w:before="400" w:after="200"/>
        <w:rPr/>
      </w:pPr>
      <w:bookmarkStart w:id="2" w:name="__RefHeading___Toc1289_2706045912"/>
      <w:bookmarkEnd w:id="2"/>
      <w:r>
        <w:rPr>
          <w:rFonts w:eastAsia="Calibri" w:cs="Calibri" w:ascii="Calibri" w:hAnsi="Calibri"/>
          <w:b/>
          <w:bCs/>
          <w:color w:val="1B2A4A"/>
          <w:sz w:val="30"/>
          <w:szCs w:val="30"/>
        </w:rPr>
        <w:t>2. Product Vision &amp; Mission</w:t>
      </w:r>
    </w:p>
    <w:p>
      <w:pPr>
        <w:pStyle w:val="Normal"/>
        <w:spacing w:lineRule="exact" w:line="276" w:before="0" w:after="160"/>
        <w:rPr/>
      </w:pPr>
      <w:r>
        <w:rPr>
          <w:rFonts w:eastAsia="Calibri" w:cs="Calibri"/>
          <w:b w:val="false"/>
          <w:bCs w:val="false"/>
          <w:i w:val="false"/>
          <w:iCs w:val="false"/>
          <w:color w:val="333333"/>
          <w:sz w:val="21"/>
          <w:szCs w:val="21"/>
        </w:rPr>
        <w:t>Vision: To become Nigeria's leading employee protection platform for public servants.</w:t>
      </w:r>
    </w:p>
    <w:p>
      <w:pPr>
        <w:pStyle w:val="Normal"/>
        <w:spacing w:lineRule="exact" w:line="276" w:before="0" w:after="160"/>
        <w:rPr/>
      </w:pPr>
      <w:r>
        <w:rPr>
          <w:rFonts w:eastAsia="Calibri" w:cs="Calibri"/>
          <w:b w:val="false"/>
          <w:bCs w:val="false"/>
          <w:i w:val="false"/>
          <w:iCs w:val="false"/>
          <w:color w:val="333333"/>
          <w:sz w:val="21"/>
          <w:szCs w:val="21"/>
        </w:rPr>
        <w:t>Mission: To provide affordable, accessible and transparent financial protection to civil servants and their families when death, accident or serious disability occurs.</w:t>
      </w:r>
    </w:p>
    <w:p>
      <w:pPr>
        <w:pStyle w:val="Normal"/>
        <w:spacing w:lineRule="exact" w:line="276" w:before="0" w:after="160"/>
        <w:rPr/>
      </w:pPr>
      <w:r>
        <w:rPr>
          <w:rFonts w:eastAsia="Calibri" w:cs="Calibri"/>
          <w:b w:val="false"/>
          <w:bCs w:val="false"/>
          <w:i w:val="false"/>
          <w:iCs w:val="false"/>
          <w:color w:val="333333"/>
          <w:sz w:val="21"/>
          <w:szCs w:val="21"/>
        </w:rPr>
        <w:t>Strategic objective: Establish a scalable programme capable of protecting 500,000 lives in Phase 1 and 1,000,000+ public-sector employees in the medium to long term.</w:t>
      </w:r>
    </w:p>
    <w:p>
      <w:pPr>
        <w:pStyle w:val="Heading1"/>
        <w:pBdr>
          <w:bottom w:val="single" w:sz="6" w:space="4" w:color="B8860B"/>
        </w:pBdr>
        <w:spacing w:before="400" w:after="200"/>
        <w:rPr/>
      </w:pPr>
      <w:bookmarkStart w:id="3" w:name="__RefHeading___Toc1291_2706045912"/>
      <w:bookmarkEnd w:id="3"/>
      <w:r>
        <w:rPr>
          <w:rFonts w:eastAsia="Calibri" w:cs="Calibri" w:ascii="Calibri" w:hAnsi="Calibri"/>
          <w:b/>
          <w:bCs/>
          <w:color w:val="1B2A4A"/>
          <w:sz w:val="30"/>
          <w:szCs w:val="30"/>
        </w:rPr>
        <w:t>3. The Problem the Plan Addresses</w:t>
      </w:r>
    </w:p>
    <w:p>
      <w:pPr>
        <w:pStyle w:val="ListParagraph"/>
        <w:numPr>
          <w:ilvl w:val="0"/>
          <w:numId w:val="3"/>
        </w:numPr>
        <w:spacing w:before="0" w:after="90"/>
        <w:rPr/>
      </w:pPr>
      <w:r>
        <w:rPr>
          <w:rFonts w:eastAsia="Calibri" w:cs="Calibri"/>
          <w:color w:val="333333"/>
          <w:sz w:val="21"/>
          <w:szCs w:val="21"/>
        </w:rPr>
        <w:t>Unexpected death can create immediate financial pressure on families.</w:t>
      </w:r>
    </w:p>
    <w:p>
      <w:pPr>
        <w:pStyle w:val="ListParagraph"/>
        <w:numPr>
          <w:ilvl w:val="0"/>
          <w:numId w:val="1"/>
        </w:numPr>
        <w:spacing w:before="0" w:after="90"/>
        <w:rPr/>
      </w:pPr>
      <w:r>
        <w:rPr>
          <w:rFonts w:eastAsia="Calibri" w:cs="Calibri"/>
          <w:color w:val="333333"/>
          <w:sz w:val="21"/>
          <w:szCs w:val="21"/>
        </w:rPr>
        <w:t>Accidents can result in medical costs, disability and loss of income.</w:t>
      </w:r>
    </w:p>
    <w:p>
      <w:pPr>
        <w:pStyle w:val="ListParagraph"/>
        <w:numPr>
          <w:ilvl w:val="0"/>
          <w:numId w:val="1"/>
        </w:numPr>
        <w:spacing w:before="0" w:after="90"/>
        <w:rPr/>
      </w:pPr>
      <w:r>
        <w:rPr>
          <w:rFonts w:eastAsia="Calibri" w:cs="Calibri"/>
          <w:color w:val="333333"/>
          <w:sz w:val="21"/>
          <w:szCs w:val="21"/>
        </w:rPr>
        <w:t>Permanent disability can affect an employee's ability to work and support dependants.</w:t>
      </w:r>
    </w:p>
    <w:p>
      <w:pPr>
        <w:pStyle w:val="ListParagraph"/>
        <w:numPr>
          <w:ilvl w:val="0"/>
          <w:numId w:val="1"/>
        </w:numPr>
        <w:spacing w:before="0" w:after="90"/>
        <w:rPr/>
      </w:pPr>
      <w:r>
        <w:rPr>
          <w:rFonts w:eastAsia="Calibri" w:cs="Calibri"/>
          <w:color w:val="333333"/>
          <w:sz w:val="21"/>
          <w:szCs w:val="21"/>
        </w:rPr>
        <w:t>Temporary incapacity can create short-term household cash-flow problems.</w:t>
      </w:r>
    </w:p>
    <w:p>
      <w:pPr>
        <w:pStyle w:val="ListParagraph"/>
        <w:numPr>
          <w:ilvl w:val="0"/>
          <w:numId w:val="1"/>
        </w:numPr>
        <w:spacing w:before="0" w:after="90"/>
        <w:rPr/>
      </w:pPr>
      <w:r>
        <w:rPr>
          <w:rFonts w:eastAsia="Calibri" w:cs="Calibri"/>
          <w:color w:val="333333"/>
          <w:sz w:val="21"/>
          <w:szCs w:val="21"/>
        </w:rPr>
        <w:t>Funeral and children's education costs can arise at the same time as loss of income.</w:t>
      </w:r>
    </w:p>
    <w:p>
      <w:pPr>
        <w:pStyle w:val="ListParagraph"/>
        <w:numPr>
          <w:ilvl w:val="0"/>
          <w:numId w:val="1"/>
        </w:numPr>
        <w:spacing w:before="0" w:after="90"/>
        <w:rPr/>
      </w:pPr>
      <w:r>
        <w:rPr>
          <w:rFonts w:eastAsia="Calibri" w:cs="Calibri"/>
          <w:color w:val="333333"/>
          <w:sz w:val="21"/>
          <w:szCs w:val="21"/>
        </w:rPr>
        <w:t>Employees often have limited visibility of what benefits they have and how to make a claim.</w:t>
      </w:r>
    </w:p>
    <w:p>
      <w:pPr>
        <w:pStyle w:val="Normal"/>
        <w:spacing w:lineRule="exact" w:line="276" w:before="0" w:after="160"/>
        <w:rPr/>
      </w:pPr>
      <w:r>
        <w:rPr>
          <w:rFonts w:eastAsia="Calibri" w:cs="Calibri"/>
          <w:b w:val="false"/>
          <w:bCs w:val="false"/>
          <w:i w:val="false"/>
          <w:iCs w:val="false"/>
          <w:color w:val="333333"/>
          <w:sz w:val="21"/>
          <w:szCs w:val="21"/>
        </w:rPr>
        <w:t>The plan therefore focuses on protection plus accessibility, speed and transparency.</w:t>
      </w:r>
    </w:p>
    <w:p>
      <w:pPr>
        <w:pStyle w:val="Heading1"/>
        <w:pBdr>
          <w:bottom w:val="single" w:sz="6" w:space="4" w:color="B8860B"/>
        </w:pBdr>
        <w:spacing w:before="400" w:after="200"/>
        <w:rPr/>
      </w:pPr>
      <w:bookmarkStart w:id="4" w:name="__RefHeading___Toc1293_2706045912"/>
      <w:bookmarkEnd w:id="4"/>
      <w:r>
        <w:rPr>
          <w:rFonts w:eastAsia="Calibri" w:cs="Calibri" w:ascii="Calibri" w:hAnsi="Calibri"/>
          <w:b/>
          <w:bCs/>
          <w:color w:val="1B2A4A"/>
          <w:sz w:val="30"/>
          <w:szCs w:val="30"/>
        </w:rPr>
        <w:t>4. Product Positioning</w:t>
      </w:r>
    </w:p>
    <w:p>
      <w:pPr>
        <w:pStyle w:val="Normal"/>
        <w:spacing w:lineRule="exact" w:line="276" w:before="0" w:after="160"/>
        <w:rPr/>
      </w:pPr>
      <w:r>
        <w:rPr>
          <w:rFonts w:eastAsia="Calibri" w:cs="Calibri"/>
          <w:b w:val="false"/>
          <w:bCs w:val="false"/>
          <w:i w:val="false"/>
          <w:iCs w:val="false"/>
          <w:color w:val="333333"/>
          <w:sz w:val="21"/>
          <w:szCs w:val="21"/>
        </w:rPr>
        <w:t>Customer-facing proposition:</w:t>
      </w:r>
    </w:p>
    <w:p>
      <w:pPr>
        <w:pStyle w:val="Normal"/>
        <w:spacing w:before="0" w:after="200"/>
        <w:jc w:val="center"/>
        <w:rPr/>
      </w:pPr>
      <w:r>
        <w:rPr>
          <w:rFonts w:eastAsia="Calibri" w:cs="Calibri"/>
          <w:b/>
          <w:bCs/>
          <w:i/>
          <w:iCs/>
          <w:color w:val="1B2A4A"/>
          <w:sz w:val="26"/>
          <w:szCs w:val="26"/>
        </w:rPr>
        <w:t>“</w:t>
      </w:r>
      <w:r>
        <w:rPr>
          <w:rFonts w:eastAsia="Calibri" w:cs="Calibri"/>
          <w:b/>
          <w:bCs/>
          <w:i/>
          <w:iCs/>
          <w:color w:val="1B2A4A"/>
          <w:sz w:val="26"/>
          <w:szCs w:val="26"/>
        </w:rPr>
        <w:t>Protecting Those Who Serve Nigeria.”</w:t>
      </w:r>
    </w:p>
    <w:p>
      <w:pPr>
        <w:pStyle w:val="Normal"/>
        <w:spacing w:lineRule="exact" w:line="276" w:before="0" w:after="160"/>
        <w:rPr/>
      </w:pPr>
      <w:r>
        <w:rPr>
          <w:rFonts w:eastAsia="Calibri" w:cs="Calibri"/>
          <w:b w:val="false"/>
          <w:bCs w:val="false"/>
          <w:i w:val="false"/>
          <w:iCs w:val="false"/>
          <w:color w:val="333333"/>
          <w:sz w:val="21"/>
          <w:szCs w:val="21"/>
        </w:rPr>
        <w:t>The programme should be presented as a Civil Servant Welfare &amp; Financial Resilience Programme. The underlying regulated risk-transfer structure should be implemented through the appropriate licensed provider and comply with applicable Nigerian requirements.</w:t>
      </w:r>
    </w:p>
    <w:p>
      <w:pPr>
        <w:pStyle w:val="Heading1"/>
        <w:pBdr>
          <w:bottom w:val="single" w:sz="6" w:space="4" w:color="B8860B"/>
        </w:pBdr>
        <w:spacing w:before="400" w:after="200"/>
        <w:rPr/>
      </w:pPr>
      <w:bookmarkStart w:id="5" w:name="__RefHeading___Toc1295_2706045912"/>
      <w:bookmarkEnd w:id="5"/>
      <w:r>
        <w:rPr>
          <w:rFonts w:eastAsia="Calibri" w:cs="Calibri" w:ascii="Calibri" w:hAnsi="Calibri"/>
          <w:b/>
          <w:bCs/>
          <w:color w:val="1B2A4A"/>
          <w:sz w:val="30"/>
          <w:szCs w:val="30"/>
        </w:rPr>
        <w:t>5. Target Market</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Market</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Priority</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Federal Civil Service</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Primary</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Federal Ministries, Departments &amp; Agencies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Primary</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State Civil Service</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Secondary</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Local Government employees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Secondary</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Public-sector agencies</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Secondary</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Participating government-owned organisations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Future</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Retired civil servants</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Future extension</w:t>
            </w:r>
          </w:p>
        </w:tc>
      </w:tr>
    </w:tbl>
    <w:p>
      <w:pPr>
        <w:pStyle w:val="Heading1"/>
        <w:pBdr>
          <w:bottom w:val="single" w:sz="6" w:space="4" w:color="B8860B"/>
        </w:pBdr>
        <w:spacing w:before="400" w:after="200"/>
        <w:rPr/>
      </w:pPr>
      <w:bookmarkStart w:id="6" w:name="__RefHeading___Toc1297_2706045912"/>
      <w:bookmarkEnd w:id="6"/>
      <w:r>
        <w:rPr>
          <w:rFonts w:eastAsia="Calibri" w:cs="Calibri" w:ascii="Calibri" w:hAnsi="Calibri"/>
          <w:b/>
          <w:bCs/>
          <w:color w:val="1B2A4A"/>
          <w:sz w:val="30"/>
          <w:szCs w:val="30"/>
        </w:rPr>
        <w:t>6. Core Contribution</w:t>
      </w:r>
    </w:p>
    <w:p>
      <w:pPr>
        <w:pStyle w:val="Normal"/>
        <w:spacing w:lineRule="exact" w:line="276" w:before="0" w:after="160"/>
        <w:rPr/>
      </w:pPr>
      <w:r>
        <w:rPr>
          <w:rFonts w:eastAsia="Calibri" w:cs="Calibri"/>
          <w:b/>
          <w:bCs/>
          <w:i w:val="false"/>
          <w:iCs w:val="false"/>
          <w:color w:val="333333"/>
          <w:sz w:val="21"/>
          <w:szCs w:val="21"/>
        </w:rPr>
        <w:t>Recommended flagship contribution: ₦2,500 per month</w:t>
      </w:r>
    </w:p>
    <w:p>
      <w:pPr>
        <w:pStyle w:val="Normal"/>
        <w:spacing w:lineRule="exact" w:line="276" w:before="0" w:after="160"/>
        <w:rPr/>
      </w:pPr>
      <w:r>
        <w:rPr>
          <w:rFonts w:eastAsia="Calibri" w:cs="Calibri"/>
          <w:b/>
          <w:bCs/>
          <w:i w:val="false"/>
          <w:iCs w:val="false"/>
          <w:color w:val="333333"/>
          <w:sz w:val="21"/>
          <w:szCs w:val="21"/>
        </w:rPr>
        <w:t>Annual equivalent: ₦30,000</w:t>
      </w:r>
    </w:p>
    <w:p>
      <w:pPr>
        <w:pStyle w:val="Normal"/>
        <w:spacing w:lineRule="exact" w:line="276" w:before="0" w:after="160"/>
        <w:rPr/>
      </w:pPr>
      <w:r>
        <w:rPr>
          <w:rFonts w:eastAsia="Calibri" w:cs="Calibri"/>
          <w:b w:val="false"/>
          <w:bCs w:val="false"/>
          <w:i w:val="false"/>
          <w:iCs w:val="false"/>
          <w:color w:val="333333"/>
          <w:sz w:val="21"/>
          <w:szCs w:val="21"/>
        </w:rPr>
        <w:t>The contribution can be collected through payroll deduction, employer contribution, approved digital payment channels or a combination of these methods.</w:t>
      </w:r>
    </w:p>
    <w:p>
      <w:pPr>
        <w:pStyle w:val="Heading1"/>
        <w:pBdr>
          <w:bottom w:val="single" w:sz="6" w:space="4" w:color="B8860B"/>
        </w:pBdr>
        <w:spacing w:before="400" w:after="200"/>
        <w:rPr/>
      </w:pPr>
      <w:bookmarkStart w:id="7" w:name="__RefHeading___Toc1299_2706045912"/>
      <w:bookmarkEnd w:id="7"/>
      <w:r>
        <w:rPr>
          <w:rFonts w:eastAsia="Calibri" w:cs="Calibri" w:ascii="Calibri" w:hAnsi="Calibri"/>
          <w:b/>
          <w:bCs/>
          <w:color w:val="1B2A4A"/>
          <w:sz w:val="30"/>
          <w:szCs w:val="30"/>
        </w:rPr>
        <w:t>7. Standard Civil Servant Protect Plan — Benefit Schedule</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Protection Benefit</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Proposed Benefit</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Life protection</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5,000,000</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Accidental death protection</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Additional ₦5,000,000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Permanent disability</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Up to ₦5,000,000</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Accident medical expenses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250,000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Temporary disability</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50,000 per week</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Maximum temporary disability</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12 weeks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Funeral assistance</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250,000</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Children's education support</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250,000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Emergency assistance</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Included</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Digital protection certificate</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Included</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Claims tracking</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Included</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24-hour accident support</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Included</w:t>
            </w:r>
          </w:p>
        </w:tc>
      </w:tr>
    </w:tbl>
    <w:p>
      <w:pPr>
        <w:pStyle w:val="Heading1"/>
        <w:pBdr>
          <w:bottom w:val="single" w:sz="6" w:space="4" w:color="B8860B"/>
        </w:pBdr>
        <w:spacing w:before="400" w:after="200"/>
        <w:rPr/>
      </w:pPr>
      <w:bookmarkStart w:id="8" w:name="__RefHeading___Toc1301_2706045912"/>
      <w:bookmarkEnd w:id="8"/>
      <w:r>
        <w:rPr>
          <w:rFonts w:eastAsia="Calibri" w:cs="Calibri" w:ascii="Calibri" w:hAnsi="Calibri"/>
          <w:b/>
          <w:bCs/>
          <w:color w:val="1B2A4A"/>
          <w:sz w:val="30"/>
          <w:szCs w:val="30"/>
        </w:rPr>
        <w:t>8. Optional Protection Tiers</w:t>
      </w:r>
    </w:p>
    <w:tbl>
      <w:tblPr>
        <w:tblW w:w="5000" w:type="pct"/>
        <w:jc w:val="left"/>
        <w:tblInd w:w="0" w:type="dxa"/>
        <w:tblLayout w:type="fixed"/>
        <w:tblCellMar>
          <w:top w:w="100" w:type="dxa"/>
          <w:left w:w="120" w:type="dxa"/>
          <w:bottom w:w="100" w:type="dxa"/>
          <w:right w:w="120" w:type="dxa"/>
        </w:tblCellMar>
      </w:tblPr>
      <w:tblGrid>
        <w:gridCol w:w="1617"/>
        <w:gridCol w:w="1618"/>
        <w:gridCol w:w="1617"/>
        <w:gridCol w:w="1618"/>
        <w:gridCol w:w="1617"/>
        <w:gridCol w:w="1618"/>
      </w:tblGrid>
      <w:tr>
        <w:trPr>
          <w:tblHeader w:val="true"/>
        </w:trPr>
        <w:tc>
          <w:tcPr>
            <w:tcW w:w="1617"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Plan</w:t>
            </w:r>
          </w:p>
        </w:tc>
        <w:tc>
          <w:tcPr>
            <w:tcW w:w="1618"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Monthly</w:t>
            </w:r>
          </w:p>
        </w:tc>
        <w:tc>
          <w:tcPr>
            <w:tcW w:w="1617"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Life</w:t>
            </w:r>
          </w:p>
        </w:tc>
        <w:tc>
          <w:tcPr>
            <w:tcW w:w="1618"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Accidental Death</w:t>
            </w:r>
          </w:p>
        </w:tc>
        <w:tc>
          <w:tcPr>
            <w:tcW w:w="1617"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Disability</w:t>
            </w:r>
          </w:p>
        </w:tc>
        <w:tc>
          <w:tcPr>
            <w:tcW w:w="1618"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Accident Medical</w:t>
            </w:r>
          </w:p>
        </w:tc>
      </w:tr>
      <w:tr>
        <w:trPr/>
        <w:tc>
          <w:tcPr>
            <w:tcW w:w="161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Basic</w:t>
            </w:r>
          </w:p>
        </w:tc>
        <w:tc>
          <w:tcPr>
            <w:tcW w:w="1618"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1,500</w:t>
            </w:r>
          </w:p>
        </w:tc>
        <w:tc>
          <w:tcPr>
            <w:tcW w:w="161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3m</w:t>
            </w:r>
          </w:p>
        </w:tc>
        <w:tc>
          <w:tcPr>
            <w:tcW w:w="1618"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3m</w:t>
            </w:r>
          </w:p>
        </w:tc>
        <w:tc>
          <w:tcPr>
            <w:tcW w:w="161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3m</w:t>
            </w:r>
          </w:p>
        </w:tc>
        <w:tc>
          <w:tcPr>
            <w:tcW w:w="1618"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150k</w:t>
            </w:r>
          </w:p>
        </w:tc>
      </w:tr>
      <w:tr>
        <w:trPr/>
        <w:tc>
          <w:tcPr>
            <w:tcW w:w="161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Standard ★</w:t>
            </w:r>
          </w:p>
        </w:tc>
        <w:tc>
          <w:tcPr>
            <w:tcW w:w="1618"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w:t>
            </w:r>
          </w:p>
        </w:tc>
        <w:tc>
          <w:tcPr>
            <w:tcW w:w="161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5m</w:t>
            </w:r>
          </w:p>
        </w:tc>
        <w:tc>
          <w:tcPr>
            <w:tcW w:w="1618"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5m</w:t>
            </w:r>
          </w:p>
        </w:tc>
        <w:tc>
          <w:tcPr>
            <w:tcW w:w="161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5m</w:t>
            </w:r>
          </w:p>
        </w:tc>
        <w:tc>
          <w:tcPr>
            <w:tcW w:w="1618"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250k</w:t>
            </w:r>
          </w:p>
        </w:tc>
      </w:tr>
      <w:tr>
        <w:trPr/>
        <w:tc>
          <w:tcPr>
            <w:tcW w:w="161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Enhanced</w:t>
            </w:r>
          </w:p>
        </w:tc>
        <w:tc>
          <w:tcPr>
            <w:tcW w:w="1618"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4,000</w:t>
            </w:r>
          </w:p>
        </w:tc>
        <w:tc>
          <w:tcPr>
            <w:tcW w:w="161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10m</w:t>
            </w:r>
          </w:p>
        </w:tc>
        <w:tc>
          <w:tcPr>
            <w:tcW w:w="1618"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10m</w:t>
            </w:r>
          </w:p>
        </w:tc>
        <w:tc>
          <w:tcPr>
            <w:tcW w:w="161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10m</w:t>
            </w:r>
          </w:p>
        </w:tc>
        <w:tc>
          <w:tcPr>
            <w:tcW w:w="1618"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500k</w:t>
            </w:r>
          </w:p>
        </w:tc>
      </w:tr>
      <w:tr>
        <w:trPr/>
        <w:tc>
          <w:tcPr>
            <w:tcW w:w="161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Executive</w:t>
            </w:r>
          </w:p>
        </w:tc>
        <w:tc>
          <w:tcPr>
            <w:tcW w:w="1618"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6,000</w:t>
            </w:r>
          </w:p>
        </w:tc>
        <w:tc>
          <w:tcPr>
            <w:tcW w:w="161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15m</w:t>
            </w:r>
          </w:p>
        </w:tc>
        <w:tc>
          <w:tcPr>
            <w:tcW w:w="1618"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15m</w:t>
            </w:r>
          </w:p>
        </w:tc>
        <w:tc>
          <w:tcPr>
            <w:tcW w:w="161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15m</w:t>
            </w:r>
          </w:p>
        </w:tc>
        <w:tc>
          <w:tcPr>
            <w:tcW w:w="1618"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1m</w:t>
            </w:r>
          </w:p>
        </w:tc>
      </w:tr>
    </w:tbl>
    <w:p>
      <w:pPr>
        <w:pStyle w:val="Normal"/>
        <w:spacing w:before="0" w:after="80"/>
        <w:rPr/>
      </w:pPr>
      <w:r>
        <w:rPr/>
      </w:r>
    </w:p>
    <w:p>
      <w:pPr>
        <w:pStyle w:val="Normal"/>
        <w:spacing w:lineRule="exact" w:line="276" w:before="0" w:after="160"/>
        <w:rPr/>
      </w:pPr>
      <w:r>
        <w:rPr>
          <w:rFonts w:eastAsia="Calibri" w:cs="Calibri"/>
          <w:b w:val="false"/>
          <w:bCs w:val="false"/>
          <w:i/>
          <w:iCs/>
          <w:color w:val="333333"/>
          <w:sz w:val="21"/>
          <w:szCs w:val="21"/>
        </w:rPr>
        <w:t>The Standard Plan is recommended as the flagship mass-market option.</w:t>
      </w:r>
    </w:p>
    <w:p>
      <w:pPr>
        <w:pStyle w:val="Heading1"/>
        <w:pBdr>
          <w:bottom w:val="single" w:sz="6" w:space="4" w:color="B8860B"/>
        </w:pBdr>
        <w:spacing w:before="400" w:after="200"/>
        <w:rPr/>
      </w:pPr>
      <w:bookmarkStart w:id="9" w:name="__RefHeading___Toc1303_2706045912"/>
      <w:bookmarkEnd w:id="9"/>
      <w:r>
        <w:rPr>
          <w:rFonts w:eastAsia="Calibri" w:cs="Calibri" w:ascii="Calibri" w:hAnsi="Calibri"/>
          <w:b/>
          <w:bCs/>
          <w:color w:val="1B2A4A"/>
          <w:sz w:val="30"/>
          <w:szCs w:val="30"/>
        </w:rPr>
        <w:t>9. Benefit Mechanics &amp; Examples</w:t>
      </w:r>
    </w:p>
    <w:p>
      <w:pPr>
        <w:pStyle w:val="Heading2"/>
        <w:spacing w:before="260" w:after="140"/>
        <w:rPr/>
      </w:pPr>
      <w:bookmarkStart w:id="10" w:name="__RefHeading___Toc1305_2706045912"/>
      <w:bookmarkEnd w:id="10"/>
      <w:r>
        <w:rPr>
          <w:rFonts w:eastAsia="Calibri" w:cs="Calibri" w:ascii="Calibri" w:hAnsi="Calibri"/>
          <w:b/>
          <w:bCs/>
          <w:color w:val="1B2A4A"/>
          <w:sz w:val="24"/>
          <w:szCs w:val="24"/>
        </w:rPr>
        <w:t>9.1 Natural Death</w:t>
      </w:r>
    </w:p>
    <w:p>
      <w:pPr>
        <w:pStyle w:val="Normal"/>
        <w:spacing w:lineRule="exact" w:line="276" w:before="0" w:after="160"/>
        <w:rPr/>
      </w:pPr>
      <w:r>
        <w:rPr>
          <w:rFonts w:eastAsia="Calibri" w:cs="Calibri"/>
          <w:b w:val="false"/>
          <w:bCs w:val="false"/>
          <w:i w:val="false"/>
          <w:iCs w:val="false"/>
          <w:color w:val="333333"/>
          <w:sz w:val="21"/>
          <w:szCs w:val="21"/>
        </w:rPr>
        <w:t>Illustrative benefit: ₦5,000,000 life protection + ₦250,000 funeral assistance + ₦250,000 education support = potential total of ₦5,500,000, subject to eligibility and final policy wording.</w:t>
      </w:r>
    </w:p>
    <w:p>
      <w:pPr>
        <w:pStyle w:val="Heading2"/>
        <w:spacing w:before="260" w:after="140"/>
        <w:rPr/>
      </w:pPr>
      <w:bookmarkStart w:id="11" w:name="__RefHeading___Toc1307_2706045912"/>
      <w:bookmarkEnd w:id="11"/>
      <w:r>
        <w:rPr>
          <w:rFonts w:eastAsia="Calibri" w:cs="Calibri" w:ascii="Calibri" w:hAnsi="Calibri"/>
          <w:b/>
          <w:bCs/>
          <w:color w:val="1B2A4A"/>
          <w:sz w:val="24"/>
          <w:szCs w:val="24"/>
        </w:rPr>
        <w:t>9.2 Accidental Death</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Benefit</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Illustrative Amount</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Life protection</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5,000,000</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Accidental death protection</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5,000,000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Funeral assistance</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250,000</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Education support</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250,000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Potential total</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10,500,000</w:t>
            </w:r>
          </w:p>
        </w:tc>
      </w:tr>
    </w:tbl>
    <w:p>
      <w:pPr>
        <w:pStyle w:val="Normal"/>
        <w:spacing w:before="0" w:after="80"/>
        <w:rPr/>
      </w:pPr>
      <w:r>
        <w:rPr/>
      </w:r>
    </w:p>
    <w:p>
      <w:pPr>
        <w:pStyle w:val="Normal"/>
        <w:spacing w:lineRule="exact" w:line="276" w:before="0" w:after="160"/>
        <w:rPr/>
      </w:pPr>
      <w:r>
        <w:rPr>
          <w:rFonts w:eastAsia="Calibri" w:cs="Calibri"/>
          <w:b w:val="false"/>
          <w:bCs w:val="false"/>
          <w:i w:val="false"/>
          <w:iCs w:val="false"/>
          <w:color w:val="333333"/>
          <w:sz w:val="21"/>
          <w:szCs w:val="21"/>
        </w:rPr>
        <w:t>The final contractual wording must state clearly whether the life and accidental-death benefits are cumulative.</w:t>
      </w:r>
    </w:p>
    <w:p>
      <w:pPr>
        <w:pStyle w:val="Heading2"/>
        <w:spacing w:before="260" w:after="140"/>
        <w:rPr/>
      </w:pPr>
      <w:bookmarkStart w:id="12" w:name="__RefHeading___Toc1309_2706045912"/>
      <w:bookmarkEnd w:id="12"/>
      <w:r>
        <w:rPr>
          <w:rFonts w:eastAsia="Calibri" w:cs="Calibri" w:ascii="Calibri" w:hAnsi="Calibri"/>
          <w:b/>
          <w:bCs/>
          <w:color w:val="1B2A4A"/>
          <w:sz w:val="24"/>
          <w:szCs w:val="24"/>
        </w:rPr>
        <w:t>9.3 Permanent Disability</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Illustrative Disability</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Potential Benefit</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Permanent total disability</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100% of applicable disability sum</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Loss of two limbs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100%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Loss of one limb</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50%</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Loss of sight in both eyes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100%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Loss of sight in one eye</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50%</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Other specified disabilities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According to approved schedule</w:t>
            </w:r>
          </w:p>
        </w:tc>
      </w:tr>
    </w:tbl>
    <w:p>
      <w:pPr>
        <w:pStyle w:val="Heading2"/>
        <w:spacing w:before="260" w:after="140"/>
        <w:rPr/>
      </w:pPr>
      <w:bookmarkStart w:id="13" w:name="__RefHeading___Toc1311_2706045912"/>
      <w:bookmarkEnd w:id="13"/>
      <w:r>
        <w:rPr>
          <w:rFonts w:eastAsia="Calibri" w:cs="Calibri" w:ascii="Calibri" w:hAnsi="Calibri"/>
          <w:b/>
          <w:bCs/>
          <w:color w:val="1B2A4A"/>
          <w:sz w:val="24"/>
          <w:szCs w:val="24"/>
        </w:rPr>
        <w:t>9.4 Temporary Disability</w:t>
      </w:r>
    </w:p>
    <w:p>
      <w:pPr>
        <w:pStyle w:val="Normal"/>
        <w:spacing w:lineRule="exact" w:line="276" w:before="0" w:after="160"/>
        <w:rPr/>
      </w:pPr>
      <w:r>
        <w:rPr>
          <w:rFonts w:eastAsia="Calibri" w:cs="Calibri"/>
          <w:b w:val="false"/>
          <w:bCs w:val="false"/>
          <w:i w:val="false"/>
          <w:iCs w:val="false"/>
          <w:color w:val="333333"/>
          <w:sz w:val="21"/>
          <w:szCs w:val="21"/>
        </w:rPr>
        <w:t>Proposed benefit: ₦50,000 per week for up to 12 weeks, giving a maximum potential benefit of ₦600,000, subject to waiting periods, medical certification and final policy conditions.</w:t>
      </w:r>
    </w:p>
    <w:p>
      <w:pPr>
        <w:pStyle w:val="Heading2"/>
        <w:spacing w:before="260" w:after="140"/>
        <w:rPr/>
      </w:pPr>
      <w:bookmarkStart w:id="14" w:name="__RefHeading___Toc1313_2706045912"/>
      <w:bookmarkEnd w:id="14"/>
      <w:r>
        <w:rPr>
          <w:rFonts w:eastAsia="Calibri" w:cs="Calibri" w:ascii="Calibri" w:hAnsi="Calibri"/>
          <w:b/>
          <w:bCs/>
          <w:color w:val="1B2A4A"/>
          <w:sz w:val="24"/>
          <w:szCs w:val="24"/>
        </w:rPr>
        <w:t>9.5 Accident Medical Expenses</w:t>
      </w:r>
    </w:p>
    <w:p>
      <w:pPr>
        <w:pStyle w:val="Normal"/>
        <w:spacing w:lineRule="exact" w:line="276" w:before="0" w:after="160"/>
        <w:rPr/>
      </w:pPr>
      <w:r>
        <w:rPr>
          <w:rFonts w:eastAsia="Calibri" w:cs="Calibri"/>
          <w:b w:val="false"/>
          <w:bCs w:val="false"/>
          <w:i w:val="false"/>
          <w:iCs w:val="false"/>
          <w:color w:val="333333"/>
          <w:sz w:val="21"/>
          <w:szCs w:val="21"/>
        </w:rPr>
        <w:t>Eligible accident-related emergency treatment, hospital treatment, diagnostics, prescribed medication, surgery and follow-up treatment may be reimbursed up to the plan limit. This benefit is not intended to replace comprehensive health coverage.</w:t>
      </w:r>
    </w:p>
    <w:p>
      <w:pPr>
        <w:pStyle w:val="Heading2"/>
        <w:spacing w:before="260" w:after="140"/>
        <w:rPr/>
      </w:pPr>
      <w:bookmarkStart w:id="15" w:name="__RefHeading___Toc1315_2706045912"/>
      <w:bookmarkEnd w:id="15"/>
      <w:r>
        <w:rPr>
          <w:rFonts w:eastAsia="Calibri" w:cs="Calibri" w:ascii="Calibri" w:hAnsi="Calibri"/>
          <w:b/>
          <w:bCs/>
          <w:color w:val="1B2A4A"/>
          <w:sz w:val="24"/>
          <w:szCs w:val="24"/>
        </w:rPr>
        <w:t>9.6 Funeral Assistance</w:t>
      </w:r>
    </w:p>
    <w:p>
      <w:pPr>
        <w:pStyle w:val="Normal"/>
        <w:spacing w:lineRule="exact" w:line="276" w:before="0" w:after="160"/>
        <w:rPr/>
      </w:pPr>
      <w:r>
        <w:rPr>
          <w:rFonts w:eastAsia="Calibri" w:cs="Calibri"/>
          <w:b w:val="false"/>
          <w:bCs w:val="false"/>
          <w:i w:val="false"/>
          <w:iCs w:val="false"/>
          <w:color w:val="333333"/>
          <w:sz w:val="21"/>
          <w:szCs w:val="21"/>
        </w:rPr>
        <w:t>A fixed rapid-assistance payment of ₦250,000 is proposed to help with immediate funeral expenses while the main death claim is assessed.</w:t>
      </w:r>
    </w:p>
    <w:p>
      <w:pPr>
        <w:pStyle w:val="Heading2"/>
        <w:spacing w:before="260" w:after="140"/>
        <w:rPr/>
      </w:pPr>
      <w:bookmarkStart w:id="16" w:name="__RefHeading___Toc1317_2706045912"/>
      <w:bookmarkEnd w:id="16"/>
      <w:r>
        <w:rPr>
          <w:rFonts w:eastAsia="Calibri" w:cs="Calibri" w:ascii="Calibri" w:hAnsi="Calibri"/>
          <w:b/>
          <w:bCs/>
          <w:color w:val="1B2A4A"/>
          <w:sz w:val="24"/>
          <w:szCs w:val="24"/>
        </w:rPr>
        <w:t>9.7 Children's Education Support</w:t>
      </w:r>
    </w:p>
    <w:p>
      <w:pPr>
        <w:pStyle w:val="Normal"/>
        <w:spacing w:lineRule="exact" w:line="276" w:before="0" w:after="160"/>
        <w:rPr/>
      </w:pPr>
      <w:r>
        <w:rPr>
          <w:rFonts w:eastAsia="Calibri" w:cs="Calibri"/>
          <w:b w:val="false"/>
          <w:bCs w:val="false"/>
          <w:i w:val="false"/>
          <w:iCs w:val="false"/>
          <w:color w:val="333333"/>
          <w:sz w:val="21"/>
          <w:szCs w:val="21"/>
        </w:rPr>
        <w:t>A proposed ₦250,000 education support payment may be made following an eligible death. A future alternative could be structured as ₦50,000 per year for five years.</w:t>
      </w:r>
    </w:p>
    <w:p>
      <w:pPr>
        <w:pStyle w:val="Heading1"/>
        <w:pBdr>
          <w:bottom w:val="single" w:sz="6" w:space="4" w:color="B8860B"/>
        </w:pBdr>
        <w:spacing w:before="400" w:after="200"/>
        <w:rPr/>
      </w:pPr>
      <w:bookmarkStart w:id="17" w:name="__RefHeading___Toc1319_2706045912"/>
      <w:bookmarkEnd w:id="17"/>
      <w:r>
        <w:rPr>
          <w:rFonts w:eastAsia="Calibri" w:cs="Calibri" w:ascii="Calibri" w:hAnsi="Calibri"/>
          <w:b/>
          <w:bCs/>
          <w:color w:val="1B2A4A"/>
          <w:sz w:val="30"/>
          <w:szCs w:val="30"/>
        </w:rPr>
        <w:t>10. Family Protection Top-Up</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Family Member</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Optional Protection</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Spouse</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2m–₦5m</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Child</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500k–₦1m</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Additional funeral support</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Optional</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Additional education support</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Optional</w:t>
            </w:r>
          </w:p>
        </w:tc>
      </w:tr>
    </w:tbl>
    <w:p>
      <w:pPr>
        <w:pStyle w:val="Normal"/>
        <w:spacing w:before="0" w:after="80"/>
        <w:rPr/>
      </w:pPr>
      <w:r>
        <w:rPr/>
      </w:r>
    </w:p>
    <w:p>
      <w:pPr>
        <w:pStyle w:val="Normal"/>
        <w:spacing w:lineRule="exact" w:line="276" w:before="0" w:after="160"/>
        <w:rPr/>
      </w:pPr>
      <w:r>
        <w:rPr>
          <w:rFonts w:eastAsia="Calibri" w:cs="Calibri"/>
          <w:b w:val="false"/>
          <w:bCs w:val="false"/>
          <w:i w:val="false"/>
          <w:iCs w:val="false"/>
          <w:color w:val="333333"/>
          <w:sz w:val="21"/>
          <w:szCs w:val="21"/>
        </w:rPr>
        <w:t>Family extensions should be voluntary and employee-funded so that the core government programme remains affordable.</w:t>
      </w:r>
    </w:p>
    <w:p>
      <w:pPr>
        <w:pStyle w:val="Heading1"/>
        <w:pBdr>
          <w:bottom w:val="single" w:sz="6" w:space="4" w:color="B8860B"/>
        </w:pBdr>
        <w:spacing w:before="400" w:after="200"/>
        <w:rPr/>
      </w:pPr>
      <w:bookmarkStart w:id="18" w:name="__RefHeading___Toc1321_2706045912"/>
      <w:bookmarkEnd w:id="18"/>
      <w:r>
        <w:rPr>
          <w:rFonts w:eastAsia="Calibri" w:cs="Calibri" w:ascii="Calibri" w:hAnsi="Calibri"/>
          <w:b/>
          <w:bCs/>
          <w:color w:val="1B2A4A"/>
          <w:sz w:val="30"/>
          <w:szCs w:val="30"/>
        </w:rPr>
        <w:t>11. Eligibility</w:t>
      </w:r>
    </w:p>
    <w:p>
      <w:pPr>
        <w:pStyle w:val="ListParagraph"/>
        <w:numPr>
          <w:ilvl w:val="0"/>
          <w:numId w:val="1"/>
        </w:numPr>
        <w:spacing w:before="0" w:after="90"/>
        <w:rPr/>
      </w:pPr>
      <w:r>
        <w:rPr>
          <w:rFonts w:eastAsia="Calibri" w:cs="Calibri"/>
          <w:color w:val="333333"/>
          <w:sz w:val="21"/>
          <w:szCs w:val="21"/>
        </w:rPr>
        <w:t>Eligible employees of participating government organisations.</w:t>
      </w:r>
    </w:p>
    <w:p>
      <w:pPr>
        <w:pStyle w:val="ListParagraph"/>
        <w:numPr>
          <w:ilvl w:val="0"/>
          <w:numId w:val="1"/>
        </w:numPr>
        <w:spacing w:before="0" w:after="90"/>
        <w:rPr/>
      </w:pPr>
      <w:r>
        <w:rPr>
          <w:rFonts w:eastAsia="Calibri" w:cs="Calibri"/>
          <w:color w:val="333333"/>
          <w:sz w:val="21"/>
          <w:szCs w:val="21"/>
        </w:rPr>
        <w:t>Proposed minimum entry age: 18 years.</w:t>
      </w:r>
    </w:p>
    <w:p>
      <w:pPr>
        <w:pStyle w:val="ListParagraph"/>
        <w:numPr>
          <w:ilvl w:val="0"/>
          <w:numId w:val="1"/>
        </w:numPr>
        <w:spacing w:before="0" w:after="90"/>
        <w:rPr/>
      </w:pPr>
      <w:r>
        <w:rPr>
          <w:rFonts w:eastAsia="Calibri" w:cs="Calibri"/>
          <w:color w:val="333333"/>
          <w:sz w:val="21"/>
          <w:szCs w:val="21"/>
        </w:rPr>
        <w:t>Proposed maximum entry age: 64 years.</w:t>
      </w:r>
    </w:p>
    <w:p>
      <w:pPr>
        <w:pStyle w:val="ListParagraph"/>
        <w:numPr>
          <w:ilvl w:val="0"/>
          <w:numId w:val="1"/>
        </w:numPr>
        <w:spacing w:before="0" w:after="90"/>
        <w:rPr/>
      </w:pPr>
      <w:r>
        <w:rPr>
          <w:rFonts w:eastAsia="Calibri" w:cs="Calibri"/>
          <w:color w:val="333333"/>
          <w:sz w:val="21"/>
          <w:szCs w:val="21"/>
        </w:rPr>
        <w:t>Renewal age limits to be agreed with the provider.</w:t>
      </w:r>
    </w:p>
    <w:p>
      <w:pPr>
        <w:pStyle w:val="ListParagraph"/>
        <w:numPr>
          <w:ilvl w:val="0"/>
          <w:numId w:val="1"/>
        </w:numPr>
        <w:spacing w:before="0" w:after="90"/>
        <w:rPr/>
      </w:pPr>
      <w:r>
        <w:rPr>
          <w:rFonts w:eastAsia="Calibri" w:cs="Calibri"/>
          <w:color w:val="333333"/>
          <w:sz w:val="21"/>
          <w:szCs w:val="21"/>
        </w:rPr>
        <w:t>Employee must be actively employed and enrolled through an approved participating organisation.</w:t>
      </w:r>
    </w:p>
    <w:p>
      <w:pPr>
        <w:pStyle w:val="ListParagraph"/>
        <w:numPr>
          <w:ilvl w:val="0"/>
          <w:numId w:val="1"/>
        </w:numPr>
        <w:spacing w:before="0" w:after="90"/>
        <w:rPr/>
      </w:pPr>
      <w:r>
        <w:rPr>
          <w:rFonts w:eastAsia="Calibri" w:cs="Calibri"/>
          <w:color w:val="333333"/>
          <w:sz w:val="21"/>
          <w:szCs w:val="21"/>
        </w:rPr>
        <w:t>Valid employee identification and beneficiary nomination required.</w:t>
      </w:r>
    </w:p>
    <w:p>
      <w:pPr>
        <w:pStyle w:val="ListParagraph"/>
        <w:numPr>
          <w:ilvl w:val="0"/>
          <w:numId w:val="1"/>
        </w:numPr>
        <w:spacing w:before="0" w:after="90"/>
        <w:rPr/>
      </w:pPr>
      <w:r>
        <w:rPr>
          <w:rFonts w:eastAsia="Calibri" w:cs="Calibri"/>
          <w:color w:val="333333"/>
          <w:sz w:val="21"/>
          <w:szCs w:val="21"/>
        </w:rPr>
        <w:t>Subject to final underwriting and group free-cover rules.</w:t>
      </w:r>
    </w:p>
    <w:p>
      <w:pPr>
        <w:pStyle w:val="Heading1"/>
        <w:pBdr>
          <w:bottom w:val="single" w:sz="6" w:space="4" w:color="B8860B"/>
        </w:pBdr>
        <w:spacing w:before="400" w:after="200"/>
        <w:rPr/>
      </w:pPr>
      <w:bookmarkStart w:id="19" w:name="__RefHeading___Toc1323_2706045912"/>
      <w:bookmarkEnd w:id="19"/>
      <w:r>
        <w:rPr>
          <w:rFonts w:eastAsia="Calibri" w:cs="Calibri" w:ascii="Calibri" w:hAnsi="Calibri"/>
          <w:b/>
          <w:bCs/>
          <w:color w:val="1B2A4A"/>
          <w:sz w:val="30"/>
          <w:szCs w:val="30"/>
        </w:rPr>
        <w:t>12. Scope of Protection</w:t>
      </w:r>
    </w:p>
    <w:p>
      <w:pPr>
        <w:pStyle w:val="Normal"/>
        <w:spacing w:lineRule="exact" w:line="276" w:before="0" w:after="160"/>
        <w:rPr/>
      </w:pPr>
      <w:r>
        <w:rPr>
          <w:rFonts w:eastAsia="Calibri" w:cs="Calibri"/>
          <w:b w:val="false"/>
          <w:bCs w:val="false"/>
          <w:i w:val="false"/>
          <w:iCs w:val="false"/>
          <w:color w:val="333333"/>
          <w:sz w:val="21"/>
          <w:szCs w:val="21"/>
        </w:rPr>
        <w:t>The preferred model is 24-hour, 365-day protection rather than workplace-only cover. Subject to the final wording, protection can operate during work, home, commuting, travel, weekends, holidays and personal activities.</w:t>
      </w:r>
    </w:p>
    <w:p>
      <w:pPr>
        <w:pStyle w:val="Heading1"/>
        <w:pBdr>
          <w:bottom w:val="single" w:sz="6" w:space="4" w:color="B8860B"/>
        </w:pBdr>
        <w:spacing w:before="400" w:after="200"/>
        <w:rPr/>
      </w:pPr>
      <w:bookmarkStart w:id="20" w:name="__RefHeading___Toc1325_2706045912"/>
      <w:bookmarkEnd w:id="20"/>
      <w:r>
        <w:rPr>
          <w:rFonts w:eastAsia="Calibri" w:cs="Calibri" w:ascii="Calibri" w:hAnsi="Calibri"/>
          <w:b/>
          <w:bCs/>
          <w:color w:val="1B2A4A"/>
          <w:sz w:val="30"/>
          <w:szCs w:val="30"/>
        </w:rPr>
        <w:t>13. Key Exclusions</w:t>
      </w:r>
    </w:p>
    <w:p>
      <w:pPr>
        <w:pStyle w:val="ListParagraph"/>
        <w:numPr>
          <w:ilvl w:val="0"/>
          <w:numId w:val="1"/>
        </w:numPr>
        <w:spacing w:before="0" w:after="90"/>
        <w:rPr/>
      </w:pPr>
      <w:r>
        <w:rPr>
          <w:rFonts w:eastAsia="Calibri" w:cs="Calibri"/>
          <w:color w:val="333333"/>
          <w:sz w:val="21"/>
          <w:szCs w:val="21"/>
        </w:rPr>
        <w:t>Fraudulent or deliberately misleading claims.</w:t>
      </w:r>
    </w:p>
    <w:p>
      <w:pPr>
        <w:pStyle w:val="ListParagraph"/>
        <w:numPr>
          <w:ilvl w:val="0"/>
          <w:numId w:val="1"/>
        </w:numPr>
        <w:spacing w:before="0" w:after="90"/>
        <w:rPr/>
      </w:pPr>
      <w:r>
        <w:rPr>
          <w:rFonts w:eastAsia="Calibri" w:cs="Calibri"/>
          <w:color w:val="333333"/>
          <w:sz w:val="21"/>
          <w:szCs w:val="21"/>
        </w:rPr>
        <w:t>Deliberately caused injury.</w:t>
      </w:r>
    </w:p>
    <w:p>
      <w:pPr>
        <w:pStyle w:val="ListParagraph"/>
        <w:numPr>
          <w:ilvl w:val="0"/>
          <w:numId w:val="1"/>
        </w:numPr>
        <w:spacing w:before="0" w:after="90"/>
        <w:rPr/>
      </w:pPr>
      <w:r>
        <w:rPr>
          <w:rFonts w:eastAsia="Calibri" w:cs="Calibri"/>
          <w:color w:val="333333"/>
          <w:sz w:val="21"/>
          <w:szCs w:val="21"/>
        </w:rPr>
        <w:t>Certain unlawful activities.</w:t>
      </w:r>
    </w:p>
    <w:p>
      <w:pPr>
        <w:pStyle w:val="ListParagraph"/>
        <w:numPr>
          <w:ilvl w:val="0"/>
          <w:numId w:val="1"/>
        </w:numPr>
        <w:spacing w:before="0" w:after="90"/>
        <w:rPr/>
      </w:pPr>
      <w:r>
        <w:rPr>
          <w:rFonts w:eastAsia="Calibri" w:cs="Calibri"/>
          <w:color w:val="333333"/>
          <w:sz w:val="21"/>
          <w:szCs w:val="21"/>
        </w:rPr>
        <w:t>Specified hazardous recreational or professional activities where excluded.</w:t>
      </w:r>
    </w:p>
    <w:p>
      <w:pPr>
        <w:pStyle w:val="ListParagraph"/>
        <w:numPr>
          <w:ilvl w:val="0"/>
          <w:numId w:val="1"/>
        </w:numPr>
        <w:spacing w:before="0" w:after="90"/>
        <w:rPr/>
      </w:pPr>
      <w:r>
        <w:rPr>
          <w:rFonts w:eastAsia="Calibri" w:cs="Calibri"/>
          <w:color w:val="333333"/>
          <w:sz w:val="21"/>
          <w:szCs w:val="21"/>
        </w:rPr>
        <w:t>War-related risks where excluded by the final wording.</w:t>
      </w:r>
    </w:p>
    <w:p>
      <w:pPr>
        <w:pStyle w:val="ListParagraph"/>
        <w:numPr>
          <w:ilvl w:val="0"/>
          <w:numId w:val="1"/>
        </w:numPr>
        <w:spacing w:before="0" w:after="90"/>
        <w:rPr/>
      </w:pPr>
      <w:r>
        <w:rPr>
          <w:rFonts w:eastAsia="Calibri" w:cs="Calibri"/>
          <w:color w:val="333333"/>
          <w:sz w:val="21"/>
          <w:szCs w:val="21"/>
        </w:rPr>
        <w:t>Terrorism-related risks where excluded by the final wording.</w:t>
      </w:r>
    </w:p>
    <w:p>
      <w:pPr>
        <w:pStyle w:val="ListParagraph"/>
        <w:numPr>
          <w:ilvl w:val="0"/>
          <w:numId w:val="1"/>
        </w:numPr>
        <w:spacing w:before="0" w:after="90"/>
        <w:rPr/>
      </w:pPr>
      <w:r>
        <w:rPr>
          <w:rFonts w:eastAsia="Calibri" w:cs="Calibri"/>
          <w:color w:val="333333"/>
          <w:sz w:val="21"/>
          <w:szCs w:val="21"/>
        </w:rPr>
        <w:t>Routine medical expenses unrelated to an insured accident.</w:t>
      </w:r>
    </w:p>
    <w:p>
      <w:pPr>
        <w:pStyle w:val="ListParagraph"/>
        <w:numPr>
          <w:ilvl w:val="0"/>
          <w:numId w:val="1"/>
        </w:numPr>
        <w:spacing w:before="0" w:after="90"/>
        <w:rPr/>
      </w:pPr>
      <w:r>
        <w:rPr>
          <w:rFonts w:eastAsia="Calibri" w:cs="Calibri"/>
          <w:color w:val="333333"/>
          <w:sz w:val="21"/>
          <w:szCs w:val="21"/>
        </w:rPr>
        <w:t>Cosmetic procedures.</w:t>
      </w:r>
    </w:p>
    <w:p>
      <w:pPr>
        <w:pStyle w:val="ListParagraph"/>
        <w:numPr>
          <w:ilvl w:val="0"/>
          <w:numId w:val="1"/>
        </w:numPr>
        <w:spacing w:before="0" w:after="90"/>
        <w:rPr/>
      </w:pPr>
      <w:r>
        <w:rPr>
          <w:rFonts w:eastAsia="Calibri" w:cs="Calibri"/>
          <w:color w:val="333333"/>
          <w:sz w:val="21"/>
          <w:szCs w:val="21"/>
        </w:rPr>
        <w:t>Claims outside the protection period.</w:t>
      </w:r>
    </w:p>
    <w:p>
      <w:pPr>
        <w:pStyle w:val="ListParagraph"/>
        <w:numPr>
          <w:ilvl w:val="0"/>
          <w:numId w:val="1"/>
        </w:numPr>
        <w:spacing w:before="0" w:after="90"/>
        <w:rPr/>
      </w:pPr>
      <w:r>
        <w:rPr>
          <w:rFonts w:eastAsia="Calibri" w:cs="Calibri"/>
          <w:color w:val="333333"/>
          <w:sz w:val="21"/>
          <w:szCs w:val="21"/>
        </w:rPr>
        <w:t>Material misrepresentation, where legally and contractually applicable.</w:t>
      </w:r>
    </w:p>
    <w:p>
      <w:pPr>
        <w:pStyle w:val="ListParagraph"/>
        <w:numPr>
          <w:ilvl w:val="0"/>
          <w:numId w:val="1"/>
        </w:numPr>
        <w:spacing w:before="0" w:after="90"/>
        <w:rPr/>
      </w:pPr>
      <w:r>
        <w:rPr>
          <w:rFonts w:eastAsia="Calibri" w:cs="Calibri"/>
          <w:color w:val="333333"/>
          <w:sz w:val="21"/>
          <w:szCs w:val="21"/>
        </w:rPr>
        <w:t>Other exclusions required by underwriting, reinsurance or regulation.</w:t>
      </w:r>
    </w:p>
    <w:p>
      <w:pPr>
        <w:pStyle w:val="Normal"/>
        <w:spacing w:before="0" w:after="80"/>
        <w:rPr/>
      </w:pPr>
      <w:r>
        <w:rPr/>
      </w:r>
    </w:p>
    <w:p>
      <w:pPr>
        <w:pStyle w:val="Normal"/>
        <w:spacing w:lineRule="exact" w:line="276" w:before="0" w:after="160"/>
        <w:rPr/>
      </w:pPr>
      <w:r>
        <w:rPr>
          <w:rFonts w:eastAsia="Calibri" w:cs="Calibri"/>
          <w:b w:val="false"/>
          <w:bCs w:val="false"/>
          <w:i w:val="false"/>
          <w:iCs w:val="false"/>
          <w:color w:val="333333"/>
          <w:sz w:val="21"/>
          <w:szCs w:val="21"/>
        </w:rPr>
        <w:t>All exclusions must be clearly disclosed to participating employees and drafted by the regulated provider's legal and compliance teams.</w:t>
      </w:r>
    </w:p>
    <w:p>
      <w:pPr>
        <w:pStyle w:val="Heading1"/>
        <w:pBdr>
          <w:bottom w:val="single" w:sz="6" w:space="4" w:color="B8860B"/>
        </w:pBdr>
        <w:spacing w:before="400" w:after="200"/>
        <w:rPr/>
      </w:pPr>
      <w:bookmarkStart w:id="21" w:name="__RefHeading___Toc1327_2706045912"/>
      <w:bookmarkEnd w:id="21"/>
      <w:r>
        <w:rPr>
          <w:rFonts w:eastAsia="Calibri" w:cs="Calibri" w:ascii="Calibri" w:hAnsi="Calibri"/>
          <w:b/>
          <w:bCs/>
          <w:color w:val="1B2A4A"/>
          <w:sz w:val="30"/>
          <w:szCs w:val="30"/>
        </w:rPr>
        <w:t>14. Claims Process</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Stage</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Process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 Report</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Employee, beneficiary or HR reports the event through the portal, call centre, WhatsApp, email or approved channel.</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2. Verify</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Confirm employee identity, protection status, event date, benefit and beneficiary.</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3. Document</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Submit death certificate, medical report, accident report, police report where applicable, identification and other required documents.</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4. Assess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Claims team validates coverage, cause, documentation and benefit payable.</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 Decision</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Approve, decline or request further information.</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6. Payment</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Approved benefit paid to the verified beneficiary.</w:t>
            </w:r>
          </w:p>
        </w:tc>
      </w:tr>
    </w:tbl>
    <w:p>
      <w:pPr>
        <w:pStyle w:val="Heading1"/>
        <w:pBdr>
          <w:bottom w:val="single" w:sz="6" w:space="4" w:color="B8860B"/>
        </w:pBdr>
        <w:spacing w:before="400" w:after="200"/>
        <w:rPr/>
      </w:pPr>
      <w:bookmarkStart w:id="22" w:name="__RefHeading___Toc1329_2706045912"/>
      <w:bookmarkEnd w:id="22"/>
      <w:r>
        <w:rPr>
          <w:rFonts w:eastAsia="Calibri" w:cs="Calibri" w:ascii="Calibri" w:hAnsi="Calibri"/>
          <w:b/>
          <w:bCs/>
          <w:color w:val="1B2A4A"/>
          <w:sz w:val="30"/>
          <w:szCs w:val="30"/>
        </w:rPr>
        <w:t>15. Proposed Claims Service Standards</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Claim Type</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Target Processing</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Funeral assistance</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2–5 working days</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Simple accident claim</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5–10 working days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Medical reimbursement</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Up to 10 working days</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Straightforward death claim</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10–20 working days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Complex/investigated claim</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Subject to investigation</w:t>
            </w:r>
          </w:p>
        </w:tc>
      </w:tr>
    </w:tbl>
    <w:p>
      <w:pPr>
        <w:pStyle w:val="Normal"/>
        <w:spacing w:before="0" w:after="80"/>
        <w:rPr/>
      </w:pPr>
      <w:r>
        <w:rPr/>
      </w:r>
    </w:p>
    <w:p>
      <w:pPr>
        <w:pStyle w:val="Normal"/>
        <w:spacing w:lineRule="exact" w:line="276" w:before="0" w:after="160"/>
        <w:rPr/>
      </w:pPr>
      <w:r>
        <w:rPr>
          <w:rFonts w:eastAsia="Calibri" w:cs="Calibri"/>
          <w:b w:val="false"/>
          <w:bCs w:val="false"/>
          <w:i w:val="false"/>
          <w:iCs w:val="false"/>
          <w:color w:val="333333"/>
          <w:sz w:val="21"/>
          <w:szCs w:val="21"/>
        </w:rPr>
        <w:t>These are proposed service targets for product design and should be confirmed contractually with the provider.</w:t>
      </w:r>
    </w:p>
    <w:p>
      <w:pPr>
        <w:pStyle w:val="Heading1"/>
        <w:pBdr>
          <w:bottom w:val="single" w:sz="6" w:space="4" w:color="B8860B"/>
        </w:pBdr>
        <w:spacing w:before="400" w:after="200"/>
        <w:rPr/>
      </w:pPr>
      <w:bookmarkStart w:id="23" w:name="__RefHeading___Toc1331_2706045912"/>
      <w:bookmarkEnd w:id="23"/>
      <w:r>
        <w:rPr>
          <w:rFonts w:eastAsia="Calibri" w:cs="Calibri" w:ascii="Calibri" w:hAnsi="Calibri"/>
          <w:b/>
          <w:bCs/>
          <w:color w:val="1B2A4A"/>
          <w:sz w:val="30"/>
          <w:szCs w:val="30"/>
        </w:rPr>
        <w:t>16. Digital Protection Platform</w:t>
      </w:r>
    </w:p>
    <w:p>
      <w:pPr>
        <w:pStyle w:val="Normal"/>
        <w:spacing w:lineRule="exact" w:line="276" w:before="0" w:after="160"/>
        <w:rPr/>
      </w:pPr>
      <w:r>
        <w:rPr>
          <w:rFonts w:eastAsia="Calibri" w:cs="Calibri"/>
          <w:b w:val="false"/>
          <w:bCs w:val="false"/>
          <w:i w:val="false"/>
          <w:iCs w:val="false"/>
          <w:color w:val="333333"/>
          <w:sz w:val="21"/>
          <w:szCs w:val="21"/>
        </w:rPr>
        <w:t>Each participating employee should receive a Civil Servant Protect ID (CSP-ID), linked to the employee record and protection benefits.</w:t>
      </w:r>
    </w:p>
    <w:p>
      <w:pPr>
        <w:pStyle w:val="ListParagraph"/>
        <w:numPr>
          <w:ilvl w:val="0"/>
          <w:numId w:val="1"/>
        </w:numPr>
        <w:spacing w:before="0" w:after="90"/>
        <w:rPr/>
      </w:pPr>
      <w:r>
        <w:rPr>
          <w:rFonts w:eastAsia="Calibri" w:cs="Calibri"/>
          <w:color w:val="333333"/>
          <w:sz w:val="21"/>
          <w:szCs w:val="21"/>
        </w:rPr>
        <w:t>Digital protection certificate.</w:t>
      </w:r>
    </w:p>
    <w:p>
      <w:pPr>
        <w:pStyle w:val="ListParagraph"/>
        <w:numPr>
          <w:ilvl w:val="0"/>
          <w:numId w:val="1"/>
        </w:numPr>
        <w:spacing w:before="0" w:after="90"/>
        <w:rPr/>
      </w:pPr>
      <w:r>
        <w:rPr>
          <w:rFonts w:eastAsia="Calibri" w:cs="Calibri"/>
          <w:color w:val="333333"/>
          <w:sz w:val="21"/>
          <w:szCs w:val="21"/>
        </w:rPr>
        <w:t>Benefit schedule.</w:t>
      </w:r>
    </w:p>
    <w:p>
      <w:pPr>
        <w:pStyle w:val="ListParagraph"/>
        <w:numPr>
          <w:ilvl w:val="0"/>
          <w:numId w:val="1"/>
        </w:numPr>
        <w:spacing w:before="0" w:after="90"/>
        <w:rPr/>
      </w:pPr>
      <w:r>
        <w:rPr>
          <w:rFonts w:eastAsia="Calibri" w:cs="Calibri"/>
          <w:color w:val="333333"/>
          <w:sz w:val="21"/>
          <w:szCs w:val="21"/>
        </w:rPr>
        <w:t>Beneficiary management.</w:t>
      </w:r>
    </w:p>
    <w:p>
      <w:pPr>
        <w:pStyle w:val="ListParagraph"/>
        <w:numPr>
          <w:ilvl w:val="0"/>
          <w:numId w:val="1"/>
        </w:numPr>
        <w:spacing w:before="0" w:after="90"/>
        <w:rPr/>
      </w:pPr>
      <w:r>
        <w:rPr>
          <w:rFonts w:eastAsia="Calibri" w:cs="Calibri"/>
          <w:color w:val="333333"/>
          <w:sz w:val="21"/>
          <w:szCs w:val="21"/>
        </w:rPr>
        <w:t>Contribution history.</w:t>
      </w:r>
    </w:p>
    <w:p>
      <w:pPr>
        <w:pStyle w:val="ListParagraph"/>
        <w:numPr>
          <w:ilvl w:val="0"/>
          <w:numId w:val="1"/>
        </w:numPr>
        <w:spacing w:before="0" w:after="90"/>
        <w:rPr/>
      </w:pPr>
      <w:r>
        <w:rPr>
          <w:rFonts w:eastAsia="Calibri" w:cs="Calibri"/>
          <w:color w:val="333333"/>
          <w:sz w:val="21"/>
          <w:szCs w:val="21"/>
        </w:rPr>
        <w:t>Accident reporting.</w:t>
      </w:r>
    </w:p>
    <w:p>
      <w:pPr>
        <w:pStyle w:val="ListParagraph"/>
        <w:numPr>
          <w:ilvl w:val="0"/>
          <w:numId w:val="1"/>
        </w:numPr>
        <w:spacing w:before="0" w:after="90"/>
        <w:rPr/>
      </w:pPr>
      <w:r>
        <w:rPr>
          <w:rFonts w:eastAsia="Calibri" w:cs="Calibri"/>
          <w:color w:val="333333"/>
          <w:sz w:val="21"/>
          <w:szCs w:val="21"/>
        </w:rPr>
        <w:t>Digital claim submission.</w:t>
      </w:r>
    </w:p>
    <w:p>
      <w:pPr>
        <w:pStyle w:val="ListParagraph"/>
        <w:numPr>
          <w:ilvl w:val="0"/>
          <w:numId w:val="1"/>
        </w:numPr>
        <w:spacing w:before="0" w:after="90"/>
        <w:rPr/>
      </w:pPr>
      <w:r>
        <w:rPr>
          <w:rFonts w:eastAsia="Calibri" w:cs="Calibri"/>
          <w:color w:val="333333"/>
          <w:sz w:val="21"/>
          <w:szCs w:val="21"/>
        </w:rPr>
        <w:t>Claim tracking.</w:t>
      </w:r>
    </w:p>
    <w:p>
      <w:pPr>
        <w:pStyle w:val="ListParagraph"/>
        <w:numPr>
          <w:ilvl w:val="0"/>
          <w:numId w:val="1"/>
        </w:numPr>
        <w:spacing w:before="0" w:after="90"/>
        <w:rPr/>
      </w:pPr>
      <w:r>
        <w:rPr>
          <w:rFonts w:eastAsia="Calibri" w:cs="Calibri"/>
          <w:color w:val="333333"/>
          <w:sz w:val="21"/>
          <w:szCs w:val="21"/>
        </w:rPr>
        <w:t>Emergency contact.</w:t>
      </w:r>
    </w:p>
    <w:p>
      <w:pPr>
        <w:pStyle w:val="ListParagraph"/>
        <w:numPr>
          <w:ilvl w:val="0"/>
          <w:numId w:val="1"/>
        </w:numPr>
        <w:spacing w:before="0" w:after="90"/>
        <w:rPr/>
      </w:pPr>
      <w:r>
        <w:rPr>
          <w:rFonts w:eastAsia="Calibri" w:cs="Calibri"/>
          <w:color w:val="333333"/>
          <w:sz w:val="21"/>
          <w:szCs w:val="21"/>
        </w:rPr>
        <w:t>Optional family protection management.</w:t>
      </w:r>
    </w:p>
    <w:p>
      <w:pPr>
        <w:pStyle w:val="Heading1"/>
        <w:pBdr>
          <w:bottom w:val="single" w:sz="6" w:space="4" w:color="B8860B"/>
        </w:pBdr>
        <w:spacing w:before="400" w:after="200"/>
        <w:rPr/>
      </w:pPr>
      <w:bookmarkStart w:id="24" w:name="__RefHeading___Toc1333_2706045912"/>
      <w:bookmarkEnd w:id="24"/>
      <w:r>
        <w:rPr>
          <w:rFonts w:eastAsia="Calibri" w:cs="Calibri" w:ascii="Calibri" w:hAnsi="Calibri"/>
          <w:b/>
          <w:bCs/>
          <w:color w:val="1B2A4A"/>
          <w:sz w:val="30"/>
          <w:szCs w:val="30"/>
        </w:rPr>
        <w:t>17. Claims Transparency</w:t>
      </w:r>
    </w:p>
    <w:p>
      <w:pPr>
        <w:pStyle w:val="Normal"/>
        <w:spacing w:lineRule="exact" w:line="276" w:before="0" w:after="160"/>
        <w:rPr/>
      </w:pPr>
      <w:r>
        <w:rPr>
          <w:rFonts w:eastAsia="Calibri" w:cs="Calibri"/>
          <w:b w:val="false"/>
          <w:bCs w:val="false"/>
          <w:i w:val="false"/>
          <w:iCs w:val="false"/>
          <w:color w:val="333333"/>
          <w:sz w:val="21"/>
          <w:szCs w:val="21"/>
        </w:rPr>
        <w:t>The platform should provide a simple 'Track My Claim' journey:</w:t>
      </w:r>
    </w:p>
    <w:p>
      <w:pPr>
        <w:pStyle w:val="Normal"/>
        <w:spacing w:before="0" w:after="200"/>
        <w:jc w:val="center"/>
        <w:rPr/>
      </w:pPr>
      <w:r>
        <w:rPr>
          <w:rFonts w:eastAsia="Calibri" w:cs="Calibri"/>
          <w:b/>
          <w:bCs/>
          <w:color w:val="1B2A4A"/>
          <w:sz w:val="20"/>
          <w:szCs w:val="20"/>
        </w:rPr>
        <w:t>Claim Submitted → Documents Verified → Assessment → Approved → Payment Processing → Paid</w:t>
      </w:r>
    </w:p>
    <w:p>
      <w:pPr>
        <w:pStyle w:val="Heading1"/>
        <w:pBdr>
          <w:bottom w:val="single" w:sz="6" w:space="4" w:color="B8860B"/>
        </w:pBdr>
        <w:spacing w:before="400" w:after="200"/>
        <w:rPr/>
      </w:pPr>
      <w:bookmarkStart w:id="25" w:name="__RefHeading___Toc1335_2706045912"/>
      <w:bookmarkEnd w:id="25"/>
      <w:r>
        <w:rPr>
          <w:rFonts w:eastAsia="Calibri" w:cs="Calibri" w:ascii="Calibri" w:hAnsi="Calibri"/>
          <w:b/>
          <w:bCs/>
          <w:color w:val="1B2A4A"/>
          <w:sz w:val="30"/>
          <w:szCs w:val="30"/>
        </w:rPr>
        <w:t>18. Distribution Model</w:t>
      </w:r>
    </w:p>
    <w:p>
      <w:pPr>
        <w:pStyle w:val="Normal"/>
        <w:spacing w:lineRule="exact" w:line="276" w:before="0" w:after="160"/>
        <w:rPr/>
      </w:pPr>
      <w:r>
        <w:rPr>
          <w:rFonts w:eastAsia="Calibri" w:cs="Calibri"/>
          <w:b/>
          <w:bCs/>
          <w:i w:val="false"/>
          <w:iCs w:val="false"/>
          <w:color w:val="333333"/>
          <w:sz w:val="21"/>
          <w:szCs w:val="21"/>
        </w:rPr>
        <w:t>Recommended model: Government → Employee → Family</w:t>
      </w:r>
    </w:p>
    <w:p>
      <w:pPr>
        <w:pStyle w:val="ListParagraph"/>
        <w:numPr>
          <w:ilvl w:val="0"/>
          <w:numId w:val="1"/>
        </w:numPr>
        <w:spacing w:before="0" w:after="90"/>
        <w:rPr/>
      </w:pPr>
      <w:r>
        <w:rPr>
          <w:rFonts w:eastAsia="Calibri" w:cs="Calibri"/>
          <w:color w:val="333333"/>
          <w:sz w:val="21"/>
          <w:szCs w:val="21"/>
        </w:rPr>
        <w:t>Government/MDAs procure or sponsor the core programme.</w:t>
      </w:r>
    </w:p>
    <w:p>
      <w:pPr>
        <w:pStyle w:val="ListParagraph"/>
        <w:numPr>
          <w:ilvl w:val="0"/>
          <w:numId w:val="1"/>
        </w:numPr>
        <w:spacing w:before="0" w:after="90"/>
        <w:rPr/>
      </w:pPr>
      <w:r>
        <w:rPr>
          <w:rFonts w:eastAsia="Calibri" w:cs="Calibri"/>
          <w:color w:val="333333"/>
          <w:sz w:val="21"/>
          <w:szCs w:val="21"/>
        </w:rPr>
        <w:t>Payroll facilitates contributions where authorised.</w:t>
      </w:r>
    </w:p>
    <w:p>
      <w:pPr>
        <w:pStyle w:val="ListParagraph"/>
        <w:numPr>
          <w:ilvl w:val="0"/>
          <w:numId w:val="1"/>
        </w:numPr>
        <w:spacing w:before="0" w:after="90"/>
        <w:rPr/>
      </w:pPr>
      <w:r>
        <w:rPr>
          <w:rFonts w:eastAsia="Calibri" w:cs="Calibri"/>
          <w:color w:val="333333"/>
          <w:sz w:val="21"/>
          <w:szCs w:val="21"/>
        </w:rPr>
        <w:t>The regulated provider administers the protection benefits and claims.</w:t>
      </w:r>
    </w:p>
    <w:p>
      <w:pPr>
        <w:pStyle w:val="ListParagraph"/>
        <w:numPr>
          <w:ilvl w:val="0"/>
          <w:numId w:val="1"/>
        </w:numPr>
        <w:spacing w:before="0" w:after="90"/>
        <w:rPr/>
      </w:pPr>
      <w:r>
        <w:rPr>
          <w:rFonts w:eastAsia="Calibri" w:cs="Calibri"/>
          <w:color w:val="333333"/>
          <w:sz w:val="21"/>
          <w:szCs w:val="21"/>
        </w:rPr>
        <w:t>A technology platform provides digital administration.</w:t>
      </w:r>
    </w:p>
    <w:p>
      <w:pPr>
        <w:pStyle w:val="ListParagraph"/>
        <w:numPr>
          <w:ilvl w:val="0"/>
          <w:numId w:val="1"/>
        </w:numPr>
        <w:spacing w:before="0" w:after="90"/>
        <w:rPr/>
      </w:pPr>
      <w:r>
        <w:rPr>
          <w:rFonts w:eastAsia="Calibri" w:cs="Calibri"/>
          <w:color w:val="333333"/>
          <w:sz w:val="21"/>
          <w:szCs w:val="21"/>
        </w:rPr>
        <w:t>A licensed broker/programme administrator may support procurement, employee education and claims advocacy.</w:t>
      </w:r>
    </w:p>
    <w:p>
      <w:pPr>
        <w:pStyle w:val="Heading1"/>
        <w:pBdr>
          <w:bottom w:val="single" w:sz="6" w:space="4" w:color="B8860B"/>
        </w:pBdr>
        <w:spacing w:before="400" w:after="200"/>
        <w:rPr/>
      </w:pPr>
      <w:bookmarkStart w:id="26" w:name="__RefHeading___Toc1337_2706045912"/>
      <w:bookmarkEnd w:id="26"/>
      <w:r>
        <w:rPr>
          <w:rFonts w:eastAsia="Calibri" w:cs="Calibri" w:ascii="Calibri" w:hAnsi="Calibri"/>
          <w:b/>
          <w:bCs/>
          <w:color w:val="1B2A4A"/>
          <w:sz w:val="30"/>
          <w:szCs w:val="30"/>
        </w:rPr>
        <w:t>19. Government Value Proposition</w:t>
      </w:r>
    </w:p>
    <w:p>
      <w:pPr>
        <w:pStyle w:val="ListParagraph"/>
        <w:numPr>
          <w:ilvl w:val="0"/>
          <w:numId w:val="1"/>
        </w:numPr>
        <w:spacing w:before="0" w:after="90"/>
        <w:rPr/>
      </w:pPr>
      <w:r>
        <w:rPr>
          <w:rFonts w:eastAsia="Calibri" w:cs="Calibri"/>
          <w:color w:val="333333"/>
          <w:sz w:val="21"/>
          <w:szCs w:val="21"/>
        </w:rPr>
        <w:t>Improved employee welfare.</w:t>
      </w:r>
    </w:p>
    <w:p>
      <w:pPr>
        <w:pStyle w:val="ListParagraph"/>
        <w:numPr>
          <w:ilvl w:val="0"/>
          <w:numId w:val="1"/>
        </w:numPr>
        <w:spacing w:before="0" w:after="90"/>
        <w:rPr/>
      </w:pPr>
      <w:r>
        <w:rPr>
          <w:rFonts w:eastAsia="Calibri" w:cs="Calibri"/>
          <w:color w:val="333333"/>
          <w:sz w:val="21"/>
          <w:szCs w:val="21"/>
        </w:rPr>
        <w:t>Family financial resilience following death or disability.</w:t>
      </w:r>
    </w:p>
    <w:p>
      <w:pPr>
        <w:pStyle w:val="ListParagraph"/>
        <w:numPr>
          <w:ilvl w:val="0"/>
          <w:numId w:val="1"/>
        </w:numPr>
        <w:spacing w:before="0" w:after="90"/>
        <w:rPr/>
      </w:pPr>
      <w:r>
        <w:rPr>
          <w:rFonts w:eastAsia="Calibri" w:cs="Calibri"/>
          <w:color w:val="333333"/>
          <w:sz w:val="21"/>
          <w:szCs w:val="21"/>
        </w:rPr>
        <w:t>Additional support following serious accidents.</w:t>
      </w:r>
    </w:p>
    <w:p>
      <w:pPr>
        <w:pStyle w:val="ListParagraph"/>
        <w:numPr>
          <w:ilvl w:val="0"/>
          <w:numId w:val="1"/>
        </w:numPr>
        <w:spacing w:before="0" w:after="90"/>
        <w:rPr/>
      </w:pPr>
      <w:r>
        <w:rPr>
          <w:rFonts w:eastAsia="Calibri" w:cs="Calibri"/>
          <w:color w:val="333333"/>
          <w:sz w:val="21"/>
          <w:szCs w:val="21"/>
        </w:rPr>
        <w:t>Transparent digital administration.</w:t>
      </w:r>
    </w:p>
    <w:p>
      <w:pPr>
        <w:pStyle w:val="ListParagraph"/>
        <w:numPr>
          <w:ilvl w:val="0"/>
          <w:numId w:val="1"/>
        </w:numPr>
        <w:spacing w:before="0" w:after="90"/>
        <w:rPr/>
      </w:pPr>
      <w:r>
        <w:rPr>
          <w:rFonts w:eastAsia="Calibri" w:cs="Calibri"/>
          <w:color w:val="333333"/>
          <w:sz w:val="21"/>
          <w:szCs w:val="21"/>
        </w:rPr>
        <w:t>Centralised programme reporting.</w:t>
      </w:r>
    </w:p>
    <w:p>
      <w:pPr>
        <w:pStyle w:val="ListParagraph"/>
        <w:numPr>
          <w:ilvl w:val="0"/>
          <w:numId w:val="1"/>
        </w:numPr>
        <w:spacing w:before="0" w:after="90"/>
        <w:rPr/>
      </w:pPr>
      <w:r>
        <w:rPr>
          <w:rFonts w:eastAsia="Calibri" w:cs="Calibri"/>
          <w:color w:val="333333"/>
          <w:sz w:val="21"/>
          <w:szCs w:val="21"/>
        </w:rPr>
        <w:t>Potential economies of scale.</w:t>
      </w:r>
    </w:p>
    <w:p>
      <w:pPr>
        <w:pStyle w:val="ListParagraph"/>
        <w:numPr>
          <w:ilvl w:val="0"/>
          <w:numId w:val="1"/>
        </w:numPr>
        <w:spacing w:before="0" w:after="90"/>
        <w:rPr/>
      </w:pPr>
      <w:r>
        <w:rPr>
          <w:rFonts w:eastAsia="Calibri" w:cs="Calibri"/>
          <w:color w:val="333333"/>
          <w:sz w:val="21"/>
          <w:szCs w:val="21"/>
        </w:rPr>
        <w:t>Affordable payroll-based participation.</w:t>
      </w:r>
    </w:p>
    <w:p>
      <w:pPr>
        <w:pStyle w:val="ListParagraph"/>
        <w:numPr>
          <w:ilvl w:val="0"/>
          <w:numId w:val="1"/>
        </w:numPr>
        <w:spacing w:before="0" w:after="90"/>
        <w:rPr/>
      </w:pPr>
      <w:r>
        <w:rPr>
          <w:rFonts w:eastAsia="Calibri" w:cs="Calibri"/>
          <w:color w:val="333333"/>
          <w:sz w:val="21"/>
          <w:szCs w:val="21"/>
        </w:rPr>
        <w:t>A visible public-sector employee benefit.</w:t>
      </w:r>
    </w:p>
    <w:p>
      <w:pPr>
        <w:pStyle w:val="Heading1"/>
        <w:pBdr>
          <w:bottom w:val="single" w:sz="6" w:space="4" w:color="B8860B"/>
        </w:pBdr>
        <w:spacing w:before="400" w:after="200"/>
        <w:rPr/>
      </w:pPr>
      <w:bookmarkStart w:id="27" w:name="__RefHeading___Toc1339_2706045912"/>
      <w:bookmarkEnd w:id="27"/>
      <w:r>
        <w:rPr>
          <w:rFonts w:eastAsia="Calibri" w:cs="Calibri" w:ascii="Calibri" w:hAnsi="Calibri"/>
          <w:b/>
          <w:bCs/>
          <w:color w:val="1B2A4A"/>
          <w:sz w:val="30"/>
          <w:szCs w:val="30"/>
        </w:rPr>
        <w:t>20. Employee Value Proposition</w:t>
      </w:r>
    </w:p>
    <w:p>
      <w:pPr>
        <w:pStyle w:val="ListParagraph"/>
        <w:numPr>
          <w:ilvl w:val="0"/>
          <w:numId w:val="1"/>
        </w:numPr>
        <w:spacing w:before="0" w:after="90"/>
        <w:rPr/>
      </w:pPr>
      <w:r>
        <w:rPr>
          <w:rFonts w:eastAsia="Calibri" w:cs="Calibri"/>
          <w:color w:val="333333"/>
          <w:sz w:val="21"/>
          <w:szCs w:val="21"/>
        </w:rPr>
        <w:t>Affordable: ₦2,500 per month.</w:t>
      </w:r>
    </w:p>
    <w:p>
      <w:pPr>
        <w:pStyle w:val="ListParagraph"/>
        <w:numPr>
          <w:ilvl w:val="0"/>
          <w:numId w:val="1"/>
        </w:numPr>
        <w:spacing w:before="0" w:after="90"/>
        <w:rPr/>
      </w:pPr>
      <w:r>
        <w:rPr>
          <w:rFonts w:eastAsia="Calibri" w:cs="Calibri"/>
          <w:color w:val="333333"/>
          <w:sz w:val="21"/>
          <w:szCs w:val="21"/>
        </w:rPr>
        <w:t>Comprehensive: life, accident, disability, medical and family support.</w:t>
      </w:r>
    </w:p>
    <w:p>
      <w:pPr>
        <w:pStyle w:val="ListParagraph"/>
        <w:numPr>
          <w:ilvl w:val="0"/>
          <w:numId w:val="1"/>
        </w:numPr>
        <w:spacing w:before="0" w:after="90"/>
        <w:rPr/>
      </w:pPr>
      <w:r>
        <w:rPr>
          <w:rFonts w:eastAsia="Calibri" w:cs="Calibri"/>
          <w:color w:val="333333"/>
          <w:sz w:val="21"/>
          <w:szCs w:val="21"/>
        </w:rPr>
        <w:t>Accessible: payroll and digital channels.</w:t>
      </w:r>
    </w:p>
    <w:p>
      <w:pPr>
        <w:pStyle w:val="ListParagraph"/>
        <w:numPr>
          <w:ilvl w:val="0"/>
          <w:numId w:val="1"/>
        </w:numPr>
        <w:spacing w:before="0" w:after="90"/>
        <w:rPr/>
      </w:pPr>
      <w:r>
        <w:rPr>
          <w:rFonts w:eastAsia="Calibri" w:cs="Calibri"/>
          <w:color w:val="333333"/>
          <w:sz w:val="21"/>
          <w:szCs w:val="21"/>
        </w:rPr>
        <w:t>Transparent: digital protection certificate and claim tracking.</w:t>
      </w:r>
    </w:p>
    <w:p>
      <w:pPr>
        <w:pStyle w:val="ListParagraph"/>
        <w:numPr>
          <w:ilvl w:val="0"/>
          <w:numId w:val="1"/>
        </w:numPr>
        <w:spacing w:before="0" w:after="90"/>
        <w:rPr/>
      </w:pPr>
      <w:r>
        <w:rPr>
          <w:rFonts w:eastAsia="Calibri" w:cs="Calibri"/>
          <w:color w:val="333333"/>
          <w:sz w:val="21"/>
          <w:szCs w:val="21"/>
        </w:rPr>
        <w:t>Family-focused: funeral and education assistance.</w:t>
      </w:r>
    </w:p>
    <w:p>
      <w:pPr>
        <w:pStyle w:val="ListParagraph"/>
        <w:numPr>
          <w:ilvl w:val="0"/>
          <w:numId w:val="1"/>
        </w:numPr>
        <w:spacing w:before="0" w:after="90"/>
        <w:rPr/>
      </w:pPr>
      <w:r>
        <w:rPr>
          <w:rFonts w:eastAsia="Calibri" w:cs="Calibri"/>
          <w:color w:val="333333"/>
          <w:sz w:val="21"/>
          <w:szCs w:val="21"/>
        </w:rPr>
        <w:t>24-hour accident protection, subject to policy terms.</w:t>
      </w:r>
    </w:p>
    <w:p>
      <w:pPr>
        <w:pStyle w:val="Heading1"/>
        <w:pBdr>
          <w:bottom w:val="single" w:sz="6" w:space="4" w:color="B8860B"/>
        </w:pBdr>
        <w:spacing w:before="400" w:after="200"/>
        <w:rPr/>
      </w:pPr>
      <w:bookmarkStart w:id="28" w:name="__RefHeading___Toc1341_2706045912"/>
      <w:bookmarkEnd w:id="28"/>
      <w:r>
        <w:rPr>
          <w:rFonts w:eastAsia="Calibri" w:cs="Calibri" w:ascii="Calibri" w:hAnsi="Calibri"/>
          <w:b/>
          <w:bCs/>
          <w:color w:val="1B2A4A"/>
          <w:sz w:val="30"/>
          <w:szCs w:val="30"/>
        </w:rPr>
        <w:t>21. Revenue &amp; Scale Model</w:t>
      </w:r>
    </w:p>
    <w:tbl>
      <w:tblPr>
        <w:tblW w:w="5000" w:type="pct"/>
        <w:jc w:val="left"/>
        <w:tblInd w:w="0" w:type="dxa"/>
        <w:tblLayout w:type="fixed"/>
        <w:tblCellMar>
          <w:top w:w="100" w:type="dxa"/>
          <w:left w:w="120" w:type="dxa"/>
          <w:bottom w:w="100" w:type="dxa"/>
          <w:right w:w="120" w:type="dxa"/>
        </w:tblCellMar>
      </w:tblPr>
      <w:tblGrid>
        <w:gridCol w:w="2426"/>
        <w:gridCol w:w="2426"/>
        <w:gridCol w:w="2427"/>
        <w:gridCol w:w="2426"/>
      </w:tblGrid>
      <w:tr>
        <w:trPr>
          <w:tblHeader w:val="true"/>
        </w:trPr>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Members</w:t>
            </w:r>
          </w:p>
        </w:tc>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Monthly Contribution</w:t>
            </w:r>
          </w:p>
        </w:tc>
        <w:tc>
          <w:tcPr>
            <w:tcW w:w="2427"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Monthly Contribution Income</w:t>
            </w:r>
          </w:p>
        </w:tc>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Annual Contribution Income</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500,000</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1.25bn</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15bn</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750,000</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w:t>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1.875bn</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22.5bn</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1,000,000</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2.5bn</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30bn</w:t>
            </w:r>
          </w:p>
        </w:tc>
      </w:tr>
    </w:tbl>
    <w:p>
      <w:pPr>
        <w:pStyle w:val="Heading1"/>
        <w:pBdr>
          <w:bottom w:val="single" w:sz="6" w:space="4" w:color="B8860B"/>
        </w:pBdr>
        <w:spacing w:before="400" w:after="200"/>
        <w:rPr/>
      </w:pPr>
      <w:bookmarkStart w:id="29" w:name="__RefHeading___Toc1343_2706045912"/>
      <w:bookmarkEnd w:id="29"/>
      <w:r>
        <w:rPr>
          <w:rFonts w:eastAsia="Calibri" w:cs="Calibri" w:ascii="Calibri" w:hAnsi="Calibri"/>
          <w:b/>
          <w:bCs/>
          <w:color w:val="1B2A4A"/>
          <w:sz w:val="30"/>
          <w:szCs w:val="30"/>
        </w:rPr>
        <w:t>22. Three-Year Growth Projection</w:t>
      </w:r>
    </w:p>
    <w:tbl>
      <w:tblPr>
        <w:tblW w:w="5000" w:type="pct"/>
        <w:jc w:val="left"/>
        <w:tblInd w:w="0" w:type="dxa"/>
        <w:tblLayout w:type="fixed"/>
        <w:tblCellMar>
          <w:top w:w="100" w:type="dxa"/>
          <w:left w:w="120" w:type="dxa"/>
          <w:bottom w:w="100" w:type="dxa"/>
          <w:right w:w="120" w:type="dxa"/>
        </w:tblCellMar>
      </w:tblPr>
      <w:tblGrid>
        <w:gridCol w:w="2426"/>
        <w:gridCol w:w="2426"/>
        <w:gridCol w:w="2427"/>
        <w:gridCol w:w="2426"/>
      </w:tblGrid>
      <w:tr>
        <w:trPr>
          <w:tblHeader w:val="true"/>
        </w:trPr>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Metric</w:t>
            </w:r>
          </w:p>
        </w:tc>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Year 1</w:t>
            </w:r>
          </w:p>
        </w:tc>
        <w:tc>
          <w:tcPr>
            <w:tcW w:w="2427"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Year 2</w:t>
            </w:r>
          </w:p>
        </w:tc>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Year 3</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Members</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500,000</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750,000</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1,000,000</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Monthly contribution</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w:t>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2,500</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Monthly income</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1.25bn</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1.875bn</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2.5bn</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Annual income</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15bn</w:t>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22.5bn</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30bn</w:t>
            </w:r>
          </w:p>
        </w:tc>
      </w:tr>
    </w:tbl>
    <w:p>
      <w:pPr>
        <w:pStyle w:val="Normal"/>
        <w:spacing w:before="0" w:after="80"/>
        <w:rPr/>
      </w:pPr>
      <w:r>
        <w:rPr/>
      </w:r>
    </w:p>
    <w:p>
      <w:pPr>
        <w:pStyle w:val="Normal"/>
        <w:spacing w:lineRule="exact" w:line="276" w:before="0" w:after="160"/>
        <w:rPr/>
      </w:pPr>
      <w:r>
        <w:rPr>
          <w:rFonts w:eastAsia="Calibri" w:cs="Calibri"/>
          <w:b/>
          <w:bCs/>
          <w:i w:val="false"/>
          <w:iCs w:val="false"/>
          <w:color w:val="333333"/>
          <w:sz w:val="21"/>
          <w:szCs w:val="21"/>
        </w:rPr>
        <w:t>Three-year cumulative contribution at these assumptions: ₦67.5 billion.</w:t>
      </w:r>
    </w:p>
    <w:p>
      <w:pPr>
        <w:pStyle w:val="Heading1"/>
        <w:pBdr>
          <w:bottom w:val="single" w:sz="6" w:space="4" w:color="B8860B"/>
        </w:pBdr>
        <w:spacing w:before="400" w:after="200"/>
        <w:rPr/>
      </w:pPr>
      <w:bookmarkStart w:id="30" w:name="__RefHeading___Toc1345_2706045912"/>
      <w:bookmarkEnd w:id="30"/>
      <w:r>
        <w:rPr>
          <w:rFonts w:eastAsia="Calibri" w:cs="Calibri" w:ascii="Calibri" w:hAnsi="Calibri"/>
          <w:b/>
          <w:bCs/>
          <w:color w:val="1B2A4A"/>
          <w:sz w:val="30"/>
          <w:szCs w:val="30"/>
        </w:rPr>
        <w:t>23. Illustrative Financial Model</w:t>
      </w:r>
    </w:p>
    <w:p>
      <w:pPr>
        <w:pStyle w:val="Normal"/>
        <w:spacing w:lineRule="exact" w:line="276" w:before="0" w:after="160"/>
        <w:rPr/>
      </w:pPr>
      <w:r>
        <w:rPr>
          <w:rFonts w:eastAsia="Calibri" w:cs="Calibri"/>
          <w:b w:val="false"/>
          <w:bCs w:val="false"/>
          <w:i w:val="false"/>
          <w:iCs w:val="false"/>
          <w:color w:val="333333"/>
          <w:sz w:val="21"/>
          <w:szCs w:val="21"/>
        </w:rPr>
        <w:t>Planning assumptions: 55% claims ratio, 18% administration/distribution, and 10% reinsurance/other technical costs. These are not final actuarial assumptions.</w:t>
      </w:r>
    </w:p>
    <w:tbl>
      <w:tblPr>
        <w:tblW w:w="5000" w:type="pct"/>
        <w:jc w:val="left"/>
        <w:tblInd w:w="0" w:type="dxa"/>
        <w:tblLayout w:type="fixed"/>
        <w:tblCellMar>
          <w:top w:w="100" w:type="dxa"/>
          <w:left w:w="120" w:type="dxa"/>
          <w:bottom w:w="100" w:type="dxa"/>
          <w:right w:w="120" w:type="dxa"/>
        </w:tblCellMar>
      </w:tblPr>
      <w:tblGrid>
        <w:gridCol w:w="2426"/>
        <w:gridCol w:w="2426"/>
        <w:gridCol w:w="2427"/>
        <w:gridCol w:w="2426"/>
      </w:tblGrid>
      <w:tr>
        <w:trPr>
          <w:tblHeader w:val="true"/>
        </w:trPr>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
          </w:p>
        </w:tc>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Year 1</w:t>
            </w:r>
          </w:p>
        </w:tc>
        <w:tc>
          <w:tcPr>
            <w:tcW w:w="2427"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Year 2</w:t>
            </w:r>
          </w:p>
        </w:tc>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Year 3</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Revenue</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15bn</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22.5bn</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30bn</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Claims @ 55%</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8.25bn</w:t>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12.375bn</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16.50bn</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Admin/distribution @ 18%</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2.70bn</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4.05bn</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5.40bn</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Reinsurance/technical @ 10%</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1.50bn</w:t>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2.25bn</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3.00bn</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Indicative balance</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2.55bn</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3.825bn</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5.10bn</w:t>
            </w:r>
          </w:p>
        </w:tc>
      </w:tr>
    </w:tbl>
    <w:p>
      <w:pPr>
        <w:pStyle w:val="Normal"/>
        <w:spacing w:before="0" w:after="80"/>
        <w:rPr/>
      </w:pPr>
      <w:r>
        <w:rPr/>
      </w:r>
    </w:p>
    <w:p>
      <w:pPr>
        <w:pStyle w:val="Normal"/>
        <w:spacing w:lineRule="exact" w:line="276" w:before="0" w:after="160"/>
        <w:rPr/>
      </w:pPr>
      <w:r>
        <w:rPr>
          <w:rFonts w:eastAsia="Calibri" w:cs="Calibri"/>
          <w:b w:val="false"/>
          <w:bCs w:val="false"/>
          <w:i/>
          <w:iCs/>
          <w:color w:val="333333"/>
          <w:sz w:val="21"/>
          <w:szCs w:val="21"/>
        </w:rPr>
        <w:t>Three-year indicative balance: ₦11.475 billion. This is not net profit and excludes insurer-specific tax, capital, reserve, investment, acquisition and other costs.</w:t>
      </w:r>
    </w:p>
    <w:p>
      <w:pPr>
        <w:pStyle w:val="Heading1"/>
        <w:pBdr>
          <w:bottom w:val="single" w:sz="6" w:space="4" w:color="B8860B"/>
        </w:pBdr>
        <w:spacing w:before="400" w:after="200"/>
        <w:rPr/>
      </w:pPr>
      <w:bookmarkStart w:id="31" w:name="__RefHeading___Toc1347_2706045912"/>
      <w:bookmarkEnd w:id="31"/>
      <w:r>
        <w:rPr>
          <w:rFonts w:eastAsia="Calibri" w:cs="Calibri" w:ascii="Calibri" w:hAnsi="Calibri"/>
          <w:b/>
          <w:bCs/>
          <w:color w:val="1B2A4A"/>
          <w:sz w:val="30"/>
          <w:szCs w:val="30"/>
        </w:rPr>
        <w:t>24. Claims-Ratio Sensitivity</w:t>
      </w:r>
    </w:p>
    <w:tbl>
      <w:tblPr>
        <w:tblW w:w="5000" w:type="pct"/>
        <w:jc w:val="left"/>
        <w:tblInd w:w="0" w:type="dxa"/>
        <w:tblLayout w:type="fixed"/>
        <w:tblCellMar>
          <w:top w:w="100" w:type="dxa"/>
          <w:left w:w="120" w:type="dxa"/>
          <w:bottom w:w="100" w:type="dxa"/>
          <w:right w:w="120" w:type="dxa"/>
        </w:tblCellMar>
      </w:tblPr>
      <w:tblGrid>
        <w:gridCol w:w="3235"/>
        <w:gridCol w:w="3235"/>
        <w:gridCol w:w="3236"/>
      </w:tblGrid>
      <w:tr>
        <w:trPr>
          <w:tblHeader w:val="true"/>
        </w:trPr>
        <w:tc>
          <w:tcPr>
            <w:tcW w:w="3235"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Claims Ratio</w:t>
            </w:r>
          </w:p>
        </w:tc>
        <w:tc>
          <w:tcPr>
            <w:tcW w:w="3235"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500k Members / ₦15bn Revenue</w:t>
            </w:r>
          </w:p>
        </w:tc>
        <w:tc>
          <w:tcPr>
            <w:tcW w:w="323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1m Members / ₦30bn Revenue</w:t>
            </w:r>
          </w:p>
        </w:tc>
      </w:tr>
      <w:tr>
        <w:trPr/>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45%</w:t>
            </w:r>
          </w:p>
        </w:tc>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6.75bn</w:t>
            </w:r>
          </w:p>
        </w:tc>
        <w:tc>
          <w:tcPr>
            <w:tcW w:w="323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13.50bn</w:t>
            </w:r>
          </w:p>
        </w:tc>
      </w:tr>
      <w:tr>
        <w:trPr/>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55%</w:t>
            </w:r>
          </w:p>
        </w:tc>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8.25bn</w:t>
            </w:r>
          </w:p>
        </w:tc>
        <w:tc>
          <w:tcPr>
            <w:tcW w:w="323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16.50bn</w:t>
            </w:r>
          </w:p>
        </w:tc>
      </w:tr>
      <w:tr>
        <w:trPr/>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65%</w:t>
            </w:r>
          </w:p>
        </w:tc>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9.75bn</w:t>
            </w:r>
          </w:p>
        </w:tc>
        <w:tc>
          <w:tcPr>
            <w:tcW w:w="323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19.50bn</w:t>
            </w:r>
          </w:p>
        </w:tc>
      </w:tr>
      <w:tr>
        <w:trPr/>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75%</w:t>
            </w:r>
          </w:p>
        </w:tc>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11.25bn</w:t>
            </w:r>
          </w:p>
        </w:tc>
        <w:tc>
          <w:tcPr>
            <w:tcW w:w="323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22.50bn</w:t>
            </w:r>
          </w:p>
        </w:tc>
      </w:tr>
      <w:tr>
        <w:trPr/>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85%</w:t>
            </w:r>
          </w:p>
        </w:tc>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12.75bn</w:t>
            </w:r>
          </w:p>
        </w:tc>
        <w:tc>
          <w:tcPr>
            <w:tcW w:w="323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25.50bn</w:t>
            </w:r>
          </w:p>
        </w:tc>
      </w:tr>
    </w:tbl>
    <w:p>
      <w:pPr>
        <w:pStyle w:val="Heading1"/>
        <w:pBdr>
          <w:bottom w:val="single" w:sz="6" w:space="4" w:color="B8860B"/>
        </w:pBdr>
        <w:spacing w:before="400" w:after="200"/>
        <w:rPr/>
      </w:pPr>
      <w:bookmarkStart w:id="32" w:name="__RefHeading___Toc1349_2706045912"/>
      <w:bookmarkEnd w:id="32"/>
      <w:r>
        <w:rPr>
          <w:rFonts w:eastAsia="Calibri" w:cs="Calibri" w:ascii="Calibri" w:hAnsi="Calibri"/>
          <w:b/>
          <w:bCs/>
          <w:color w:val="1B2A4A"/>
          <w:sz w:val="30"/>
          <w:szCs w:val="30"/>
        </w:rPr>
        <w:t>25. Illustrative 100-Claim Month</w:t>
      </w:r>
    </w:p>
    <w:p>
      <w:pPr>
        <w:pStyle w:val="Normal"/>
        <w:spacing w:lineRule="exact" w:line="276" w:before="0" w:after="160"/>
        <w:rPr/>
      </w:pPr>
      <w:r>
        <w:rPr>
          <w:rFonts w:eastAsia="Calibri" w:cs="Calibri"/>
          <w:b w:val="false"/>
          <w:bCs w:val="false"/>
          <w:i w:val="false"/>
          <w:iCs w:val="false"/>
          <w:color w:val="333333"/>
          <w:sz w:val="21"/>
          <w:szCs w:val="21"/>
        </w:rPr>
        <w:t>A '100 claims per month' scenario should not be interpreted as 100 deaths. Claims may comprise death, disability, medical and temporary disability events, and one claim can trigger multiple benefits.</w:t>
      </w:r>
    </w:p>
    <w:tbl>
      <w:tblPr>
        <w:tblW w:w="5000" w:type="pct"/>
        <w:jc w:val="left"/>
        <w:tblInd w:w="0" w:type="dxa"/>
        <w:tblLayout w:type="fixed"/>
        <w:tblCellMar>
          <w:top w:w="100" w:type="dxa"/>
          <w:left w:w="120" w:type="dxa"/>
          <w:bottom w:w="100" w:type="dxa"/>
          <w:right w:w="120" w:type="dxa"/>
        </w:tblCellMar>
      </w:tblPr>
      <w:tblGrid>
        <w:gridCol w:w="2426"/>
        <w:gridCol w:w="2426"/>
        <w:gridCol w:w="2427"/>
        <w:gridCol w:w="2426"/>
      </w:tblGrid>
      <w:tr>
        <w:trPr>
          <w:tblHeader w:val="true"/>
        </w:trPr>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Claim Category</w:t>
            </w:r>
          </w:p>
        </w:tc>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Claims</w:t>
            </w:r>
          </w:p>
        </w:tc>
        <w:tc>
          <w:tcPr>
            <w:tcW w:w="2427"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Illustrative Average Payment</w:t>
            </w:r>
          </w:p>
        </w:tc>
        <w:tc>
          <w:tcPr>
            <w:tcW w:w="242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Estimated Cost</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Natural death</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15</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5m</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75m</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Accidental death</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3</w:t>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10m</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30m</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Permanent disability</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2.5m</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12.5m</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Accident medical</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45</w:t>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100k</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4.5m</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Temporary disability</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25</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150k</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3.75m</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Subtotal (93 benefit events)</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125.75m</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Funeral assistance</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15</w:t>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250k</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3.75m</w:t>
            </w:r>
          </w:p>
        </w:tc>
      </w:tr>
      <w:tr>
        <w:trPr/>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Education support</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15</w:t>
            </w:r>
          </w:p>
        </w:tc>
        <w:tc>
          <w:tcPr>
            <w:tcW w:w="2427"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250k</w:t>
            </w:r>
          </w:p>
        </w:tc>
        <w:tc>
          <w:tcPr>
            <w:tcW w:w="242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3.75m</w:t>
            </w:r>
          </w:p>
        </w:tc>
      </w:tr>
      <w:tr>
        <w:trPr/>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Illustrative total</w:t>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
          </w:p>
        </w:tc>
        <w:tc>
          <w:tcPr>
            <w:tcW w:w="2427"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
          </w:p>
        </w:tc>
        <w:tc>
          <w:tcPr>
            <w:tcW w:w="242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w:t>
            </w:r>
            <w:r>
              <w:rPr>
                <w:rFonts w:eastAsia="Calibri" w:cs="Calibri"/>
                <w:b w:val="false"/>
                <w:bCs w:val="false"/>
                <w:color w:val="333333"/>
                <w:sz w:val="20"/>
                <w:szCs w:val="20"/>
              </w:rPr>
              <w:t>133.25m</w:t>
            </w:r>
          </w:p>
        </w:tc>
      </w:tr>
    </w:tbl>
    <w:p>
      <w:pPr>
        <w:pStyle w:val="Normal"/>
        <w:spacing w:before="0" w:after="80"/>
        <w:rPr/>
      </w:pPr>
      <w:r>
        <w:rPr/>
      </w:r>
    </w:p>
    <w:p>
      <w:pPr>
        <w:pStyle w:val="Normal"/>
        <w:spacing w:lineRule="exact" w:line="276" w:before="0" w:after="160"/>
        <w:rPr/>
      </w:pPr>
      <w:r>
        <w:rPr>
          <w:rFonts w:eastAsia="Calibri" w:cs="Calibri"/>
          <w:b w:val="false"/>
          <w:bCs w:val="false"/>
          <w:i w:val="false"/>
          <w:iCs w:val="false"/>
          <w:color w:val="333333"/>
          <w:sz w:val="21"/>
          <w:szCs w:val="21"/>
        </w:rPr>
        <w:t>At 500,000 members, monthly contribution income is ₦1.25bn. An illustrative ₦133.25m claims month would represent approximately 10.7% of that month's contribution income. This single-month ratio should not be annualised as an expected claims ratio.</w:t>
      </w:r>
    </w:p>
    <w:p>
      <w:pPr>
        <w:pStyle w:val="Heading1"/>
        <w:pBdr>
          <w:bottom w:val="single" w:sz="6" w:space="4" w:color="B8860B"/>
        </w:pBdr>
        <w:spacing w:before="400" w:after="200"/>
        <w:rPr/>
      </w:pPr>
      <w:bookmarkStart w:id="33" w:name="__RefHeading___Toc1351_2706045912"/>
      <w:bookmarkEnd w:id="33"/>
      <w:r>
        <w:rPr>
          <w:rFonts w:eastAsia="Calibri" w:cs="Calibri" w:ascii="Calibri" w:hAnsi="Calibri"/>
          <w:b/>
          <w:bCs/>
          <w:color w:val="1B2A4A"/>
          <w:sz w:val="30"/>
          <w:szCs w:val="30"/>
        </w:rPr>
        <w:t>26. Actuarial &amp; Pricing Assumptions</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Assumption</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Initial Planning Basis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Population</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500,000–1,000,000 employees</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Indicative average age</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38–42 years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Persistency</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85–90% Year 1; 90–95% thereafter</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Base claims ratio</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55% planning assumption</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Admin/distribution</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18% planning assumption</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Reinsurance/technical</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10% planning assumption</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Target technical contribution</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Approximately 17% before other insurer-specific costs</w:t>
            </w:r>
          </w:p>
        </w:tc>
      </w:tr>
    </w:tbl>
    <w:p>
      <w:pPr>
        <w:pStyle w:val="Normal"/>
        <w:spacing w:before="0" w:after="80"/>
        <w:rPr/>
      </w:pPr>
      <w:r>
        <w:rPr/>
      </w:r>
    </w:p>
    <w:p>
      <w:pPr>
        <w:pStyle w:val="Normal"/>
        <w:spacing w:lineRule="exact" w:line="276" w:before="0" w:after="160"/>
        <w:rPr/>
      </w:pPr>
      <w:r>
        <w:rPr>
          <w:rFonts w:eastAsia="Calibri" w:cs="Calibri"/>
          <w:b w:val="false"/>
          <w:bCs w:val="false"/>
          <w:i w:val="false"/>
          <w:iCs w:val="false"/>
          <w:color w:val="333333"/>
          <w:sz w:val="21"/>
          <w:szCs w:val="21"/>
        </w:rPr>
        <w:t>Final pricing must be based on actual Nigerian mortality, morbidity and accident experience, age profile, occupation, salary/grade distribution, historical claims, benefit limits, reinsurance, expenses, reserves, capital requirements and provider margin.</w:t>
      </w:r>
    </w:p>
    <w:p>
      <w:pPr>
        <w:pStyle w:val="Heading1"/>
        <w:pBdr>
          <w:bottom w:val="single" w:sz="6" w:space="4" w:color="B8860B"/>
        </w:pBdr>
        <w:spacing w:before="400" w:after="200"/>
        <w:rPr/>
      </w:pPr>
      <w:bookmarkStart w:id="34" w:name="__RefHeading___Toc1353_2706045912"/>
      <w:bookmarkEnd w:id="34"/>
      <w:r>
        <w:rPr>
          <w:rFonts w:eastAsia="Calibri" w:cs="Calibri" w:ascii="Calibri" w:hAnsi="Calibri"/>
          <w:b/>
          <w:bCs/>
          <w:color w:val="1B2A4A"/>
          <w:sz w:val="30"/>
          <w:szCs w:val="30"/>
        </w:rPr>
        <w:t>27. Experience Rating</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Loss Ratio</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Recommended Action</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Below 45%</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Potential renewal discount or enhanced benefits after review</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45–60%</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Standard renewal subject to experience</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60–70%</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Technical review</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Above 70%</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Formal repricing/benefit review</w:t>
            </w:r>
          </w:p>
        </w:tc>
      </w:tr>
    </w:tbl>
    <w:p>
      <w:pPr>
        <w:pStyle w:val="Heading1"/>
        <w:pBdr>
          <w:bottom w:val="single" w:sz="6" w:space="4" w:color="B8860B"/>
        </w:pBdr>
        <w:spacing w:before="400" w:after="200"/>
        <w:rPr/>
      </w:pPr>
      <w:bookmarkStart w:id="35" w:name="__RefHeading___Toc1355_2706045912"/>
      <w:bookmarkEnd w:id="35"/>
      <w:r>
        <w:rPr>
          <w:rFonts w:eastAsia="Calibri" w:cs="Calibri" w:ascii="Calibri" w:hAnsi="Calibri"/>
          <w:b/>
          <w:bCs/>
          <w:color w:val="1B2A4A"/>
          <w:sz w:val="30"/>
          <w:szCs w:val="30"/>
        </w:rPr>
        <w:t>28. Reinsurance Strategy</w:t>
      </w:r>
    </w:p>
    <w:p>
      <w:pPr>
        <w:pStyle w:val="Normal"/>
        <w:spacing w:lineRule="exact" w:line="276" w:before="0" w:after="160"/>
        <w:rPr/>
      </w:pPr>
      <w:r>
        <w:rPr>
          <w:rFonts w:eastAsia="Calibri" w:cs="Calibri"/>
          <w:b w:val="false"/>
          <w:bCs w:val="false"/>
          <w:i w:val="false"/>
          <w:iCs w:val="false"/>
          <w:color w:val="333333"/>
          <w:sz w:val="21"/>
          <w:szCs w:val="21"/>
        </w:rPr>
        <w:t>The regulated provider should establish an appropriate reinsurance programme before launch. Potential structures include quota share, surplus, excess of loss, catastrophe protection and facultative arrangements for exceptional exposures. Final structure should be determined by the appointed actuary and reinsurance team.</w:t>
      </w:r>
    </w:p>
    <w:p>
      <w:pPr>
        <w:pStyle w:val="Heading1"/>
        <w:pBdr>
          <w:bottom w:val="single" w:sz="6" w:space="4" w:color="B8860B"/>
        </w:pBdr>
        <w:spacing w:before="400" w:after="200"/>
        <w:rPr/>
      </w:pPr>
      <w:bookmarkStart w:id="36" w:name="__RefHeading___Toc1357_2706045912"/>
      <w:bookmarkEnd w:id="36"/>
      <w:r>
        <w:rPr>
          <w:rFonts w:eastAsia="Calibri" w:cs="Calibri" w:ascii="Calibri" w:hAnsi="Calibri"/>
          <w:b/>
          <w:bCs/>
          <w:color w:val="1B2A4A"/>
          <w:sz w:val="30"/>
          <w:szCs w:val="30"/>
        </w:rPr>
        <w:t>29. Risk Management</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Risk</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Mitigation</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Mortality risk</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Actuarial pricing, group diversification and reinsurance</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Accident frequency</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Experience monitoring, benefit limits and underwriting controls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Fraud</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Digital verification, employee records and claims investigation</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Data risk</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Encryption, access controls, audit trails and data governance</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Procurement/political risk</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Transparent procurement and contractual clarity</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Concentration risk</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Reinsurance and expansion beyond one government segment</w:t>
            </w:r>
          </w:p>
        </w:tc>
      </w:tr>
    </w:tbl>
    <w:p>
      <w:pPr>
        <w:pStyle w:val="Heading1"/>
        <w:pBdr>
          <w:bottom w:val="single" w:sz="6" w:space="4" w:color="B8860B"/>
        </w:pBdr>
        <w:spacing w:before="400" w:after="200"/>
        <w:rPr/>
      </w:pPr>
      <w:bookmarkStart w:id="37" w:name="__RefHeading___Toc1359_2706045912"/>
      <w:bookmarkEnd w:id="37"/>
      <w:r>
        <w:rPr>
          <w:rFonts w:eastAsia="Calibri" w:cs="Calibri" w:ascii="Calibri" w:hAnsi="Calibri"/>
          <w:b/>
          <w:bCs/>
          <w:color w:val="1B2A4A"/>
          <w:sz w:val="30"/>
          <w:szCs w:val="30"/>
        </w:rPr>
        <w:t>30. Data &amp; Privacy</w:t>
      </w:r>
    </w:p>
    <w:p>
      <w:pPr>
        <w:pStyle w:val="Normal"/>
        <w:spacing w:lineRule="exact" w:line="276" w:before="0" w:after="160"/>
        <w:rPr/>
      </w:pPr>
      <w:r>
        <w:rPr>
          <w:rFonts w:eastAsia="Calibri" w:cs="Calibri"/>
          <w:b w:val="false"/>
          <w:bCs w:val="false"/>
          <w:i w:val="false"/>
          <w:iCs w:val="false"/>
          <w:color w:val="333333"/>
          <w:sz w:val="21"/>
          <w:szCs w:val="21"/>
        </w:rPr>
        <w:t>The platform should use data minimisation and role-based access. Government should not automatically receive unnecessary medical information. The system should include authentication, encryption, audit trails, access controls, retention rules, beneficiary verification and secure document handling, subject to applicable Nigerian data-protection requirements.</w:t>
      </w:r>
    </w:p>
    <w:p>
      <w:pPr>
        <w:pStyle w:val="Heading1"/>
        <w:pBdr>
          <w:bottom w:val="single" w:sz="6" w:space="4" w:color="B8860B"/>
        </w:pBdr>
        <w:spacing w:before="400" w:after="200"/>
        <w:rPr/>
      </w:pPr>
      <w:bookmarkStart w:id="38" w:name="__RefHeading___Toc1361_2706045912"/>
      <w:bookmarkEnd w:id="38"/>
      <w:r>
        <w:rPr>
          <w:rFonts w:eastAsia="Calibri" w:cs="Calibri" w:ascii="Calibri" w:hAnsi="Calibri"/>
          <w:b/>
          <w:bCs/>
          <w:color w:val="1B2A4A"/>
          <w:sz w:val="30"/>
          <w:szCs w:val="30"/>
        </w:rPr>
        <w:t>31. Governance Structure</w:t>
      </w:r>
    </w:p>
    <w:p>
      <w:pPr>
        <w:pStyle w:val="ListParagraph"/>
        <w:numPr>
          <w:ilvl w:val="0"/>
          <w:numId w:val="1"/>
        </w:numPr>
        <w:spacing w:before="0" w:after="90"/>
        <w:rPr/>
      </w:pPr>
      <w:r>
        <w:rPr>
          <w:rFonts w:eastAsia="Calibri" w:cs="Calibri"/>
          <w:color w:val="333333"/>
          <w:sz w:val="21"/>
          <w:szCs w:val="21"/>
        </w:rPr>
        <w:t>Government Steering Committee — strategic oversight.</w:t>
      </w:r>
    </w:p>
    <w:p>
      <w:pPr>
        <w:pStyle w:val="ListParagraph"/>
        <w:numPr>
          <w:ilvl w:val="0"/>
          <w:numId w:val="1"/>
        </w:numPr>
        <w:spacing w:before="0" w:after="90"/>
        <w:rPr/>
      </w:pPr>
      <w:r>
        <w:rPr>
          <w:rFonts w:eastAsia="Calibri" w:cs="Calibri"/>
          <w:color w:val="333333"/>
          <w:sz w:val="21"/>
          <w:szCs w:val="21"/>
        </w:rPr>
        <w:t>Regulated Protection Provider — underwriting, policy administration, claims, reserves, compliance and reinsurance.</w:t>
      </w:r>
    </w:p>
    <w:p>
      <w:pPr>
        <w:pStyle w:val="ListParagraph"/>
        <w:numPr>
          <w:ilvl w:val="0"/>
          <w:numId w:val="1"/>
        </w:numPr>
        <w:spacing w:before="0" w:after="90"/>
        <w:rPr/>
      </w:pPr>
      <w:r>
        <w:rPr>
          <w:rFonts w:eastAsia="Calibri" w:cs="Calibri"/>
          <w:color w:val="333333"/>
          <w:sz w:val="21"/>
          <w:szCs w:val="21"/>
        </w:rPr>
        <w:t>Broker/Programme Administrator — procurement support, programme administration, employee engagement and claims support.</w:t>
      </w:r>
    </w:p>
    <w:p>
      <w:pPr>
        <w:pStyle w:val="ListParagraph"/>
        <w:numPr>
          <w:ilvl w:val="0"/>
          <w:numId w:val="1"/>
        </w:numPr>
        <w:spacing w:before="0" w:after="90"/>
        <w:rPr/>
      </w:pPr>
      <w:r>
        <w:rPr>
          <w:rFonts w:eastAsia="Calibri" w:cs="Calibri"/>
          <w:color w:val="333333"/>
          <w:sz w:val="21"/>
          <w:szCs w:val="21"/>
        </w:rPr>
        <w:t>Technology Provider — platform, digital certificates, claims tracking and integrations.</w:t>
      </w:r>
    </w:p>
    <w:p>
      <w:pPr>
        <w:pStyle w:val="ListParagraph"/>
        <w:numPr>
          <w:ilvl w:val="0"/>
          <w:numId w:val="1"/>
        </w:numPr>
        <w:spacing w:before="0" w:after="90"/>
        <w:rPr/>
      </w:pPr>
      <w:r>
        <w:rPr>
          <w:rFonts w:eastAsia="Calibri" w:cs="Calibri"/>
          <w:color w:val="333333"/>
          <w:sz w:val="21"/>
          <w:szCs w:val="21"/>
        </w:rPr>
        <w:t>Actuary — pricing, reserving, experience analysis and sustainability.</w:t>
      </w:r>
    </w:p>
    <w:p>
      <w:pPr>
        <w:pStyle w:val="Heading1"/>
        <w:pBdr>
          <w:bottom w:val="single" w:sz="6" w:space="4" w:color="B8860B"/>
        </w:pBdr>
        <w:spacing w:before="400" w:after="200"/>
        <w:rPr/>
      </w:pPr>
      <w:bookmarkStart w:id="39" w:name="__RefHeading___Toc1363_2706045912"/>
      <w:bookmarkEnd w:id="39"/>
      <w:r>
        <w:rPr>
          <w:rFonts w:eastAsia="Calibri" w:cs="Calibri" w:ascii="Calibri" w:hAnsi="Calibri"/>
          <w:b/>
          <w:bCs/>
          <w:color w:val="1B2A4A"/>
          <w:sz w:val="30"/>
          <w:szCs w:val="30"/>
        </w:rPr>
        <w:t>32. Key Performance Indicators</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Area</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KPIs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Commercial</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Lives insured, contribution per employee, annual contribution, renewal rate, top-up penetration</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Claims</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Frequency, average claim, claims ratio, settlement time, outstanding claims</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Customer</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Satisfaction, complaint rate, digital adoption, claim experience</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Government</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MDA participation, employee participation, cost per employee, welfare impact</w:t>
            </w:r>
          </w:p>
        </w:tc>
      </w:tr>
    </w:tbl>
    <w:p>
      <w:pPr>
        <w:pStyle w:val="Heading1"/>
        <w:pBdr>
          <w:bottom w:val="single" w:sz="6" w:space="4" w:color="B8860B"/>
        </w:pBdr>
        <w:spacing w:before="400" w:after="200"/>
        <w:rPr/>
      </w:pPr>
      <w:bookmarkStart w:id="40" w:name="__RefHeading___Toc1365_2706045912"/>
      <w:bookmarkEnd w:id="40"/>
      <w:r>
        <w:rPr>
          <w:rFonts w:eastAsia="Calibri" w:cs="Calibri" w:ascii="Calibri" w:hAnsi="Calibri"/>
          <w:b/>
          <w:bCs/>
          <w:color w:val="1B2A4A"/>
          <w:sz w:val="30"/>
          <w:szCs w:val="30"/>
        </w:rPr>
        <w:t>33. Pilot Programme</w:t>
      </w:r>
    </w:p>
    <w:p>
      <w:pPr>
        <w:pStyle w:val="Normal"/>
        <w:spacing w:lineRule="exact" w:line="276" w:before="0" w:after="160"/>
        <w:rPr/>
      </w:pPr>
      <w:r>
        <w:rPr>
          <w:rFonts w:eastAsia="Calibri" w:cs="Calibri"/>
          <w:b/>
          <w:bCs/>
          <w:i w:val="false"/>
          <w:iCs w:val="false"/>
          <w:color w:val="333333"/>
          <w:sz w:val="21"/>
          <w:szCs w:val="21"/>
        </w:rPr>
        <w:t>Recommended pilot size: 10,000–25,000 civil servants.</w:t>
      </w:r>
    </w:p>
    <w:tbl>
      <w:tblPr>
        <w:tblW w:w="5000" w:type="pct"/>
        <w:jc w:val="left"/>
        <w:tblInd w:w="0" w:type="dxa"/>
        <w:tblLayout w:type="fixed"/>
        <w:tblCellMar>
          <w:top w:w="100" w:type="dxa"/>
          <w:left w:w="120" w:type="dxa"/>
          <w:bottom w:w="100" w:type="dxa"/>
          <w:right w:w="120" w:type="dxa"/>
        </w:tblCellMar>
      </w:tblPr>
      <w:tblGrid>
        <w:gridCol w:w="4852"/>
        <w:gridCol w:w="4853"/>
      </w:tblGrid>
      <w:tr>
        <w:trPr>
          <w:tblHeader w:val="true"/>
        </w:trPr>
        <w:tc>
          <w:tcPr>
            <w:tcW w:w="4852"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Pilot KPI</w:t>
            </w:r>
          </w:p>
        </w:tc>
        <w:tc>
          <w:tcPr>
            <w:tcW w:w="4853"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Indicative Target</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Eligible employee enrolment</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&gt;80%</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Digital activation</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&gt;70%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Simple claim processing</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5–10 working days target</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Customer satisfaction</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&gt;80%</w:t>
            </w:r>
          </w:p>
        </w:tc>
      </w:tr>
      <w:tr>
        <w:trPr/>
        <w:tc>
          <w:tcPr>
            <w:tcW w:w="4852"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Claims ratio</w:t>
            </w:r>
          </w:p>
        </w:tc>
        <w:tc>
          <w:tcPr>
            <w:tcW w:w="4853"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Actuarially monitored</w:t>
            </w:r>
          </w:p>
        </w:tc>
      </w:tr>
      <w:tr>
        <w:trPr/>
        <w:tc>
          <w:tcPr>
            <w:tcW w:w="4852"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Renewal intention</w:t>
            </w:r>
          </w:p>
        </w:tc>
        <w:tc>
          <w:tcPr>
            <w:tcW w:w="4853"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&gt;85%</w:t>
            </w:r>
          </w:p>
        </w:tc>
      </w:tr>
    </w:tbl>
    <w:p>
      <w:pPr>
        <w:pStyle w:val="Heading1"/>
        <w:pBdr>
          <w:bottom w:val="single" w:sz="6" w:space="4" w:color="B8860B"/>
        </w:pBdr>
        <w:spacing w:before="400" w:after="200"/>
        <w:rPr/>
      </w:pPr>
      <w:bookmarkStart w:id="41" w:name="__RefHeading___Toc1367_2706045912"/>
      <w:bookmarkEnd w:id="41"/>
      <w:r>
        <w:rPr>
          <w:rFonts w:eastAsia="Calibri" w:cs="Calibri" w:ascii="Calibri" w:hAnsi="Calibri"/>
          <w:b/>
          <w:bCs/>
          <w:color w:val="1B2A4A"/>
          <w:sz w:val="30"/>
          <w:szCs w:val="30"/>
        </w:rPr>
        <w:t>34. Implementation Roadmap</w:t>
      </w:r>
    </w:p>
    <w:tbl>
      <w:tblPr>
        <w:tblW w:w="5000" w:type="pct"/>
        <w:jc w:val="left"/>
        <w:tblInd w:w="0" w:type="dxa"/>
        <w:tblLayout w:type="fixed"/>
        <w:tblCellMar>
          <w:top w:w="100" w:type="dxa"/>
          <w:left w:w="120" w:type="dxa"/>
          <w:bottom w:w="100" w:type="dxa"/>
          <w:right w:w="120" w:type="dxa"/>
        </w:tblCellMar>
      </w:tblPr>
      <w:tblGrid>
        <w:gridCol w:w="3235"/>
        <w:gridCol w:w="3235"/>
        <w:gridCol w:w="3236"/>
      </w:tblGrid>
      <w:tr>
        <w:trPr>
          <w:tblHeader w:val="true"/>
        </w:trPr>
        <w:tc>
          <w:tcPr>
            <w:tcW w:w="3235"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Phase</w:t>
            </w:r>
          </w:p>
        </w:tc>
        <w:tc>
          <w:tcPr>
            <w:tcW w:w="3235"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Timing</w:t>
            </w:r>
          </w:p>
        </w:tc>
        <w:tc>
          <w:tcPr>
            <w:tcW w:w="3236" w:type="dxa"/>
            <w:tcBorders>
              <w:top w:val="single" w:sz="2" w:space="0" w:color="CCCCCC"/>
              <w:left w:val="single" w:sz="2" w:space="0" w:color="CCCCCC"/>
              <w:bottom w:val="single" w:sz="2" w:space="0" w:color="CCCCCC"/>
              <w:right w:val="single" w:sz="2" w:space="0" w:color="CCCCCC"/>
            </w:tcBorders>
            <w:shd w:fill="1B2A4A" w:val="clear"/>
            <w:vAlign w:val="center"/>
          </w:tcPr>
          <w:p>
            <w:pPr>
              <w:pStyle w:val="Normal"/>
              <w:jc w:val="left"/>
              <w:rPr/>
            </w:pPr>
            <w:r>
              <w:rPr>
                <w:rFonts w:eastAsia="Calibri" w:cs="Calibri"/>
                <w:b/>
                <w:bCs/>
                <w:color w:val="FFFFFF"/>
                <w:sz w:val="20"/>
                <w:szCs w:val="20"/>
              </w:rPr>
              <w:t>Key Activities</w:t>
            </w:r>
          </w:p>
        </w:tc>
      </w:tr>
      <w:tr>
        <w:trPr/>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Product development</w:t>
            </w:r>
          </w:p>
        </w:tc>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Months 1–2</w:t>
            </w:r>
          </w:p>
        </w:tc>
        <w:tc>
          <w:tcPr>
            <w:tcW w:w="323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Design, actuarial modelling, legal and underwriting review</w:t>
            </w:r>
          </w:p>
        </w:tc>
      </w:tr>
      <w:tr>
        <w:trPr/>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Provider partnership</w:t>
            </w:r>
          </w:p>
        </w:tc>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Months 2–3</w:t>
            </w:r>
          </w:p>
        </w:tc>
        <w:tc>
          <w:tcPr>
            <w:tcW w:w="323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Select licensed provider and programme partners</w:t>
            </w:r>
          </w:p>
        </w:tc>
      </w:tr>
      <w:tr>
        <w:trPr/>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Regulatory/compliance</w:t>
            </w:r>
          </w:p>
        </w:tc>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Months 2–4</w:t>
            </w:r>
          </w:p>
        </w:tc>
        <w:tc>
          <w:tcPr>
            <w:tcW w:w="323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Product documentation and applicable regulatory review</w:t>
            </w:r>
          </w:p>
        </w:tc>
      </w:tr>
      <w:tr>
        <w:trPr/>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Technology</w:t>
            </w:r>
          </w:p>
        </w:tc>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Months 3–5</w:t>
            </w:r>
          </w:p>
        </w:tc>
        <w:tc>
          <w:tcPr>
            <w:tcW w:w="323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Portal, claims system and data integration</w:t>
            </w:r>
          </w:p>
        </w:tc>
      </w:tr>
      <w:tr>
        <w:trPr/>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Pilot</w:t>
            </w:r>
          </w:p>
        </w:tc>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Months 5–6</w:t>
            </w:r>
          </w:p>
        </w:tc>
        <w:tc>
          <w:tcPr>
            <w:tcW w:w="323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10,000–25,000 employees</w:t>
            </w:r>
          </w:p>
        </w:tc>
      </w:tr>
      <w:tr>
        <w:trPr/>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Expansion</w:t>
            </w:r>
          </w:p>
        </w:tc>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Months 7–12</w:t>
            </w:r>
          </w:p>
        </w:tc>
        <w:tc>
          <w:tcPr>
            <w:tcW w:w="323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100,000–250,000 employees</w:t>
            </w:r>
          </w:p>
        </w:tc>
      </w:tr>
      <w:tr>
        <w:trPr/>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Scale</w:t>
            </w:r>
          </w:p>
        </w:tc>
        <w:tc>
          <w:tcPr>
            <w:tcW w:w="3235"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Year 2</w:t>
            </w:r>
          </w:p>
        </w:tc>
        <w:tc>
          <w:tcPr>
            <w:tcW w:w="3236"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jc w:val="left"/>
              <w:rPr/>
            </w:pPr>
            <w:r>
              <w:rPr>
                <w:rFonts w:eastAsia="Calibri" w:cs="Calibri"/>
                <w:b w:val="false"/>
                <w:bCs w:val="false"/>
                <w:color w:val="333333"/>
                <w:sz w:val="20"/>
                <w:szCs w:val="20"/>
              </w:rPr>
              <w:t>500,000–750,000 employees</w:t>
            </w:r>
          </w:p>
        </w:tc>
      </w:tr>
      <w:tr>
        <w:trPr/>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National expansion</w:t>
            </w:r>
          </w:p>
        </w:tc>
        <w:tc>
          <w:tcPr>
            <w:tcW w:w="3235"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Year 3</w:t>
            </w:r>
          </w:p>
        </w:tc>
        <w:tc>
          <w:tcPr>
            <w:tcW w:w="3236" w:type="dxa"/>
            <w:tcBorders>
              <w:top w:val="single" w:sz="2" w:space="0" w:color="CCCCCC"/>
              <w:left w:val="single" w:sz="2" w:space="0" w:color="CCCCCC"/>
              <w:bottom w:val="single" w:sz="2" w:space="0" w:color="CCCCCC"/>
              <w:right w:val="single" w:sz="2" w:space="0" w:color="CCCCCC"/>
            </w:tcBorders>
            <w:shd w:fill="F2F2F2" w:val="clear"/>
            <w:tcMar>
              <w:top w:w="90" w:type="dxa"/>
              <w:bottom w:w="90" w:type="dxa"/>
            </w:tcMar>
            <w:vAlign w:val="center"/>
          </w:tcPr>
          <w:p>
            <w:pPr>
              <w:pStyle w:val="Normal"/>
              <w:jc w:val="left"/>
              <w:rPr/>
            </w:pPr>
            <w:r>
              <w:rPr>
                <w:rFonts w:eastAsia="Calibri" w:cs="Calibri"/>
                <w:b w:val="false"/>
                <w:bCs w:val="false"/>
                <w:color w:val="333333"/>
                <w:sz w:val="20"/>
                <w:szCs w:val="20"/>
              </w:rPr>
              <w:t>1,000,000+ employees</w:t>
            </w:r>
          </w:p>
        </w:tc>
      </w:tr>
    </w:tbl>
    <w:p>
      <w:pPr>
        <w:pStyle w:val="Heading1"/>
        <w:pBdr>
          <w:bottom w:val="single" w:sz="6" w:space="4" w:color="B8860B"/>
        </w:pBdr>
        <w:spacing w:before="400" w:after="200"/>
        <w:rPr/>
      </w:pPr>
      <w:bookmarkStart w:id="42" w:name="__RefHeading___Toc1369_2706045912"/>
      <w:bookmarkEnd w:id="42"/>
      <w:r>
        <w:rPr>
          <w:rFonts w:eastAsia="Calibri" w:cs="Calibri" w:ascii="Calibri" w:hAnsi="Calibri"/>
          <w:b/>
          <w:bCs/>
          <w:color w:val="1B2A4A"/>
          <w:sz w:val="30"/>
          <w:szCs w:val="30"/>
        </w:rPr>
        <w:t>35. Long-Term Expansion</w:t>
      </w:r>
    </w:p>
    <w:p>
      <w:pPr>
        <w:pStyle w:val="Normal"/>
        <w:spacing w:lineRule="exact" w:line="276" w:before="0" w:after="160"/>
        <w:rPr/>
      </w:pPr>
      <w:r>
        <w:rPr>
          <w:rFonts w:eastAsia="Calibri" w:cs="Calibri"/>
          <w:b w:val="false"/>
          <w:bCs w:val="false"/>
          <w:i w:val="false"/>
          <w:iCs w:val="false"/>
          <w:color w:val="333333"/>
          <w:sz w:val="21"/>
          <w:szCs w:val="21"/>
        </w:rPr>
        <w:t>The programme can develop into a wider Public Servant Protection Platform with additional voluntary services such as family protection, education protection, motor protection, home protection, travel protection, retirement protection, emergency assistance and financial wellbeing.</w:t>
      </w:r>
    </w:p>
    <w:p>
      <w:pPr>
        <w:pStyle w:val="Heading1"/>
        <w:pBdr>
          <w:bottom w:val="single" w:sz="6" w:space="4" w:color="B8860B"/>
        </w:pBdr>
        <w:spacing w:before="400" w:after="200"/>
        <w:rPr/>
      </w:pPr>
      <w:bookmarkStart w:id="43" w:name="__RefHeading___Toc1371_2706045912"/>
      <w:bookmarkEnd w:id="43"/>
      <w:r>
        <w:rPr>
          <w:rFonts w:eastAsia="Calibri" w:cs="Calibri" w:ascii="Calibri" w:hAnsi="Calibri"/>
          <w:b/>
          <w:bCs/>
          <w:color w:val="1B2A4A"/>
          <w:sz w:val="30"/>
          <w:szCs w:val="30"/>
        </w:rPr>
        <w:t>36. Strategic Differentiator</w:t>
      </w:r>
    </w:p>
    <w:p>
      <w:pPr>
        <w:pStyle w:val="Normal"/>
        <w:spacing w:before="0" w:after="200"/>
        <w:jc w:val="center"/>
        <w:rPr/>
      </w:pPr>
      <w:r>
        <w:rPr>
          <w:rFonts w:eastAsia="Calibri" w:cs="Calibri"/>
          <w:b/>
          <w:bCs/>
          <w:color w:val="1B2A4A"/>
          <w:sz w:val="24"/>
          <w:szCs w:val="24"/>
        </w:rPr>
        <w:t>PROTECTION + ACCESSIBILITY + SPEED + TRANSPARENCY</w:t>
      </w:r>
    </w:p>
    <w:p>
      <w:pPr>
        <w:pStyle w:val="Normal"/>
        <w:spacing w:lineRule="exact" w:line="276" w:before="0" w:after="160"/>
        <w:rPr/>
      </w:pPr>
      <w:r>
        <w:rPr>
          <w:rFonts w:eastAsia="Calibri" w:cs="Calibri"/>
          <w:b w:val="false"/>
          <w:bCs w:val="false"/>
          <w:i w:val="false"/>
          <w:iCs w:val="false"/>
          <w:color w:val="333333"/>
          <w:sz w:val="21"/>
          <w:szCs w:val="21"/>
        </w:rPr>
        <w:t>The objective is to make employees feel: “I know what I am protected for, I know who will receive my benefits, and I know what happens when I make a claim.”</w:t>
      </w:r>
    </w:p>
    <w:p>
      <w:pPr>
        <w:pStyle w:val="Heading1"/>
        <w:pBdr>
          <w:bottom w:val="single" w:sz="6" w:space="4" w:color="B8860B"/>
        </w:pBdr>
        <w:spacing w:before="400" w:after="200"/>
        <w:rPr/>
      </w:pPr>
      <w:bookmarkStart w:id="44" w:name="__RefHeading___Toc1373_2706045912"/>
      <w:bookmarkEnd w:id="44"/>
      <w:r>
        <w:rPr>
          <w:rFonts w:eastAsia="Calibri" w:cs="Calibri" w:ascii="Calibri" w:hAnsi="Calibri"/>
          <w:b/>
          <w:bCs/>
          <w:color w:val="1B2A4A"/>
          <w:sz w:val="30"/>
          <w:szCs w:val="30"/>
        </w:rPr>
        <w:t>37. Regulatory &amp; Commercial Framework</w:t>
      </w:r>
    </w:p>
    <w:p>
      <w:pPr>
        <w:pStyle w:val="Normal"/>
        <w:spacing w:lineRule="exact" w:line="276" w:before="0" w:after="160"/>
        <w:rPr/>
      </w:pPr>
      <w:r>
        <w:rPr>
          <w:rFonts w:eastAsia="Calibri" w:cs="Calibri"/>
          <w:b w:val="false"/>
          <w:bCs w:val="false"/>
          <w:i w:val="false"/>
          <w:iCs w:val="false"/>
          <w:color w:val="333333"/>
          <w:sz w:val="21"/>
          <w:szCs w:val="21"/>
        </w:rPr>
        <w:t>Although the customer-facing proposition is called Civil Servant Protect Plan™, the life and accident risk-transfer components must be structured through appropriately licensed Nigerian entities and comply with applicable Nigerian insurance, financial-services, procurement and data-protection requirements.</w:t>
      </w:r>
    </w:p>
    <w:p>
      <w:pPr>
        <w:pStyle w:val="ListParagraph"/>
        <w:numPr>
          <w:ilvl w:val="0"/>
          <w:numId w:val="1"/>
        </w:numPr>
        <w:spacing w:before="0" w:after="90"/>
        <w:rPr/>
      </w:pPr>
      <w:r>
        <w:rPr>
          <w:rFonts w:eastAsia="Calibri" w:cs="Calibri"/>
          <w:color w:val="333333"/>
          <w:sz w:val="21"/>
          <w:szCs w:val="21"/>
        </w:rPr>
        <w:t>Conduct full actuarial pricing and experience analysis.</w:t>
      </w:r>
    </w:p>
    <w:p>
      <w:pPr>
        <w:pStyle w:val="ListParagraph"/>
        <w:numPr>
          <w:ilvl w:val="0"/>
          <w:numId w:val="1"/>
        </w:numPr>
        <w:spacing w:before="0" w:after="90"/>
        <w:rPr/>
      </w:pPr>
      <w:r>
        <w:rPr>
          <w:rFonts w:eastAsia="Calibri" w:cs="Calibri"/>
          <w:color w:val="333333"/>
          <w:sz w:val="21"/>
          <w:szCs w:val="21"/>
        </w:rPr>
        <w:t>Review the product under the current Nigerian insurance regulatory framework.</w:t>
      </w:r>
    </w:p>
    <w:p>
      <w:pPr>
        <w:pStyle w:val="ListParagraph"/>
        <w:numPr>
          <w:ilvl w:val="0"/>
          <w:numId w:val="1"/>
        </w:numPr>
        <w:spacing w:before="0" w:after="90"/>
        <w:rPr/>
      </w:pPr>
      <w:r>
        <w:rPr>
          <w:rFonts w:eastAsia="Calibri" w:cs="Calibri"/>
          <w:color w:val="333333"/>
          <w:sz w:val="21"/>
          <w:szCs w:val="21"/>
        </w:rPr>
        <w:t>Develop formal contractual wording, benefit schedules and exclusions.</w:t>
      </w:r>
    </w:p>
    <w:p>
      <w:pPr>
        <w:pStyle w:val="ListParagraph"/>
        <w:numPr>
          <w:ilvl w:val="0"/>
          <w:numId w:val="1"/>
        </w:numPr>
        <w:spacing w:before="0" w:after="90"/>
        <w:rPr/>
      </w:pPr>
      <w:r>
        <w:rPr>
          <w:rFonts w:eastAsia="Calibri" w:cs="Calibri"/>
          <w:color w:val="333333"/>
          <w:sz w:val="21"/>
          <w:szCs w:val="21"/>
        </w:rPr>
        <w:t>Confirm applicable product-registration/approval requirements.</w:t>
      </w:r>
    </w:p>
    <w:p>
      <w:pPr>
        <w:pStyle w:val="ListParagraph"/>
        <w:numPr>
          <w:ilvl w:val="0"/>
          <w:numId w:val="1"/>
        </w:numPr>
        <w:spacing w:before="0" w:after="90"/>
        <w:rPr/>
      </w:pPr>
      <w:r>
        <w:rPr>
          <w:rFonts w:eastAsia="Calibri" w:cs="Calibri"/>
          <w:color w:val="333333"/>
          <w:sz w:val="21"/>
          <w:szCs w:val="21"/>
        </w:rPr>
        <w:t>Establish appropriate reinsurance.</w:t>
      </w:r>
    </w:p>
    <w:p>
      <w:pPr>
        <w:pStyle w:val="ListParagraph"/>
        <w:numPr>
          <w:ilvl w:val="0"/>
          <w:numId w:val="1"/>
        </w:numPr>
        <w:spacing w:before="0" w:after="90"/>
        <w:rPr/>
      </w:pPr>
      <w:r>
        <w:rPr>
          <w:rFonts w:eastAsia="Calibri" w:cs="Calibri"/>
          <w:color w:val="333333"/>
          <w:sz w:val="21"/>
          <w:szCs w:val="21"/>
        </w:rPr>
        <w:t>Confirm capital, reserving and solvency requirements.</w:t>
      </w:r>
    </w:p>
    <w:p>
      <w:pPr>
        <w:pStyle w:val="ListParagraph"/>
        <w:numPr>
          <w:ilvl w:val="0"/>
          <w:numId w:val="1"/>
        </w:numPr>
        <w:spacing w:before="0" w:after="90"/>
        <w:rPr/>
      </w:pPr>
      <w:r>
        <w:rPr>
          <w:rFonts w:eastAsia="Calibri" w:cs="Calibri"/>
          <w:color w:val="333333"/>
          <w:sz w:val="21"/>
          <w:szCs w:val="21"/>
        </w:rPr>
        <w:t>Complete government procurement and legal review.</w:t>
      </w:r>
    </w:p>
    <w:p>
      <w:pPr>
        <w:pStyle w:val="ListParagraph"/>
        <w:numPr>
          <w:ilvl w:val="0"/>
          <w:numId w:val="1"/>
        </w:numPr>
        <w:spacing w:before="0" w:after="90"/>
        <w:rPr/>
      </w:pPr>
      <w:r>
        <w:rPr>
          <w:rFonts w:eastAsia="Calibri" w:cs="Calibri"/>
          <w:color w:val="333333"/>
          <w:sz w:val="21"/>
          <w:szCs w:val="21"/>
        </w:rPr>
        <w:t>Complete data-protection and cybersecurity assessments.</w:t>
      </w:r>
    </w:p>
    <w:p>
      <w:pPr>
        <w:pStyle w:val="ListParagraph"/>
        <w:numPr>
          <w:ilvl w:val="0"/>
          <w:numId w:val="1"/>
        </w:numPr>
        <w:spacing w:before="0" w:after="90"/>
        <w:rPr/>
      </w:pPr>
      <w:r>
        <w:rPr>
          <w:rFonts w:eastAsia="Calibri" w:cs="Calibri"/>
          <w:color w:val="333333"/>
          <w:sz w:val="21"/>
          <w:szCs w:val="21"/>
        </w:rPr>
        <w:t>Validate all contribution levels and benefit limits before launch.</w:t>
      </w:r>
    </w:p>
    <w:p>
      <w:pPr>
        <w:pStyle w:val="Normal"/>
        <w:rPr/>
      </w:pPr>
      <w:r>
        <w:rPr/>
      </w:r>
      <w:r>
        <w:br w:type="page"/>
      </w:r>
    </w:p>
    <w:p>
      <w:pPr>
        <w:pStyle w:val="Heading1"/>
        <w:pBdr>
          <w:bottom w:val="single" w:sz="6" w:space="4" w:color="B8860B"/>
        </w:pBdr>
        <w:spacing w:before="0" w:after="200"/>
        <w:rPr/>
      </w:pPr>
      <w:bookmarkStart w:id="45" w:name="__RefHeading___Toc1375_2706045912"/>
      <w:bookmarkEnd w:id="45"/>
      <w:r>
        <w:rPr>
          <w:rFonts w:eastAsia="Calibri" w:cs="Calibri" w:ascii="Calibri" w:hAnsi="Calibri"/>
          <w:b/>
          <w:bCs/>
          <w:color w:val="1B2A4A"/>
          <w:sz w:val="30"/>
          <w:szCs w:val="30"/>
        </w:rPr>
        <w:t>38. Final Commercial Proposition</w:t>
      </w:r>
    </w:p>
    <w:tbl>
      <w:tblPr>
        <w:tblW w:w="5000" w:type="pct"/>
        <w:jc w:val="left"/>
        <w:tblInd w:w="0" w:type="dxa"/>
        <w:tblLayout w:type="fixed"/>
        <w:tblCellMar>
          <w:top w:w="300" w:type="dxa"/>
          <w:left w:w="300" w:type="dxa"/>
          <w:bottom w:w="300" w:type="dxa"/>
          <w:right w:w="300" w:type="dxa"/>
        </w:tblCellMar>
      </w:tblPr>
      <w:tblGrid>
        <w:gridCol w:w="9706"/>
      </w:tblGrid>
      <w:tr>
        <w:trPr/>
        <w:tc>
          <w:tcPr>
            <w:tcW w:w="9706" w:type="dxa"/>
            <w:tcBorders>
              <w:top w:val="single" w:sz="8" w:space="0" w:color="1B2A4A"/>
              <w:left w:val="single" w:sz="8" w:space="0" w:color="1B2A4A"/>
              <w:bottom w:val="single" w:sz="8" w:space="0" w:color="1B2A4A"/>
              <w:right w:val="single" w:sz="8" w:space="0" w:color="1B2A4A"/>
            </w:tcBorders>
            <w:shd w:fill="1B2A4A" w:val="clear"/>
          </w:tcPr>
          <w:p>
            <w:pPr>
              <w:pStyle w:val="Normal"/>
              <w:spacing w:before="0" w:after="120"/>
              <w:jc w:val="center"/>
              <w:rPr/>
            </w:pPr>
            <w:r>
              <w:rPr>
                <w:rFonts w:eastAsia="Calibri" w:cs="Calibri"/>
                <w:b/>
                <w:bCs/>
                <w:color w:val="FFFFFF"/>
                <w:sz w:val="30"/>
                <w:szCs w:val="30"/>
              </w:rPr>
              <w:t>CIVIL SERVANT PROTECT PLAN™</w:t>
            </w:r>
          </w:p>
          <w:p>
            <w:pPr>
              <w:pStyle w:val="Normal"/>
              <w:spacing w:before="0" w:after="240"/>
              <w:jc w:val="center"/>
              <w:rPr/>
            </w:pPr>
            <w:r>
              <w:rPr>
                <w:rFonts w:eastAsia="Calibri" w:cs="Calibri"/>
                <w:b/>
                <w:bCs/>
                <w:color w:val="B8860B"/>
                <w:sz w:val="34"/>
                <w:szCs w:val="34"/>
              </w:rPr>
              <w:t>₦</w:t>
            </w:r>
            <w:r>
              <w:rPr>
                <w:rFonts w:eastAsia="Calibri" w:cs="Calibri"/>
                <w:b/>
                <w:bCs/>
                <w:color w:val="B8860B"/>
                <w:sz w:val="34"/>
                <w:szCs w:val="34"/>
              </w:rPr>
              <w:t>2,500 PER MONTH</w:t>
            </w:r>
          </w:p>
          <w:p>
            <w:pPr>
              <w:pStyle w:val="Normal"/>
              <w:spacing w:before="0" w:after="60"/>
              <w:jc w:val="center"/>
              <w:rPr/>
            </w:pPr>
            <w:r>
              <w:rPr>
                <w:rFonts w:eastAsia="Calibri" w:cs="Calibri"/>
                <w:color w:val="FFFFFF"/>
                <w:sz w:val="21"/>
                <w:szCs w:val="21"/>
              </w:rPr>
              <w:t>₦</w:t>
            </w:r>
            <w:r>
              <w:rPr>
                <w:rFonts w:eastAsia="Calibri" w:cs="Calibri"/>
                <w:color w:val="FFFFFF"/>
                <w:sz w:val="21"/>
                <w:szCs w:val="21"/>
              </w:rPr>
              <w:t>5m Life Protection | ₦5m Accidental Death | Up to ₦5m Disability</w:t>
            </w:r>
          </w:p>
          <w:p>
            <w:pPr>
              <w:pStyle w:val="Normal"/>
              <w:spacing w:before="0" w:after="60"/>
              <w:jc w:val="center"/>
              <w:rPr/>
            </w:pPr>
            <w:r>
              <w:rPr>
                <w:rFonts w:eastAsia="Calibri" w:cs="Calibri"/>
                <w:color w:val="FFFFFF"/>
                <w:sz w:val="21"/>
                <w:szCs w:val="21"/>
              </w:rPr>
              <w:t>₦</w:t>
            </w:r>
            <w:r>
              <w:rPr>
                <w:rFonts w:eastAsia="Calibri" w:cs="Calibri"/>
                <w:color w:val="FFFFFF"/>
                <w:sz w:val="21"/>
                <w:szCs w:val="21"/>
              </w:rPr>
              <w:t>250k Accident Medical | Up to ₦600k Temporary Disability</w:t>
            </w:r>
          </w:p>
          <w:p>
            <w:pPr>
              <w:pStyle w:val="Normal"/>
              <w:spacing w:before="0" w:after="60"/>
              <w:jc w:val="center"/>
              <w:rPr/>
            </w:pPr>
            <w:r>
              <w:rPr>
                <w:rFonts w:eastAsia="Calibri" w:cs="Calibri"/>
                <w:color w:val="FFFFFF"/>
                <w:sz w:val="21"/>
                <w:szCs w:val="21"/>
              </w:rPr>
              <w:t>₦</w:t>
            </w:r>
            <w:r>
              <w:rPr>
                <w:rFonts w:eastAsia="Calibri" w:cs="Calibri"/>
                <w:color w:val="FFFFFF"/>
                <w:sz w:val="21"/>
                <w:szCs w:val="21"/>
              </w:rPr>
              <w:t>250k Funeral Assistance | ₦250k Education Support</w:t>
            </w:r>
          </w:p>
          <w:p>
            <w:pPr>
              <w:pStyle w:val="Normal"/>
              <w:spacing w:before="0" w:after="240"/>
              <w:jc w:val="center"/>
              <w:rPr/>
            </w:pPr>
            <w:r>
              <w:rPr>
                <w:rFonts w:eastAsia="Calibri" w:cs="Calibri"/>
                <w:color w:val="FFFFFF"/>
                <w:sz w:val="21"/>
                <w:szCs w:val="21"/>
              </w:rPr>
              <w:t>24-Hour Protection | Digital Claims Tracking</w:t>
            </w:r>
          </w:p>
          <w:p>
            <w:pPr>
              <w:pStyle w:val="Normal"/>
              <w:jc w:val="center"/>
              <w:rPr/>
            </w:pPr>
            <w:r>
              <w:rPr>
                <w:rFonts w:eastAsia="Calibri" w:cs="Calibri"/>
                <w:i/>
                <w:iCs/>
                <w:color w:val="B8860B"/>
                <w:sz w:val="22"/>
                <w:szCs w:val="22"/>
              </w:rPr>
              <w:t>Protecting Those Who Serve Nigeria.</w:t>
            </w:r>
          </w:p>
        </w:tc>
      </w:tr>
    </w:tbl>
    <w:p>
      <w:pPr>
        <w:pStyle w:val="Normal"/>
        <w:spacing w:before="0" w:after="300"/>
        <w:rPr/>
      </w:pPr>
      <w:r>
        <w:rPr/>
      </w:r>
    </w:p>
    <w:p>
      <w:pPr>
        <w:pStyle w:val="Heading1"/>
        <w:pBdr>
          <w:bottom w:val="single" w:sz="6" w:space="4" w:color="B8860B"/>
        </w:pBdr>
        <w:spacing w:before="400" w:after="200"/>
        <w:rPr/>
      </w:pPr>
      <w:bookmarkStart w:id="46" w:name="__RefHeading___Toc1377_2706045912"/>
      <w:bookmarkEnd w:id="46"/>
      <w:r>
        <w:rPr>
          <w:rFonts w:eastAsia="Calibri" w:cs="Calibri" w:ascii="Calibri" w:hAnsi="Calibri"/>
          <w:b/>
          <w:bCs/>
          <w:color w:val="1B2A4A"/>
          <w:sz w:val="30"/>
          <w:szCs w:val="30"/>
        </w:rPr>
        <w:t>39. Important Product Development Note</w:t>
      </w:r>
    </w:p>
    <w:tbl>
      <w:tblPr>
        <w:tblW w:w="5000" w:type="pct"/>
        <w:jc w:val="left"/>
        <w:tblInd w:w="0" w:type="dxa"/>
        <w:tblLayout w:type="fixed"/>
        <w:tblCellMar>
          <w:top w:w="150" w:type="dxa"/>
          <w:left w:w="200" w:type="dxa"/>
          <w:bottom w:w="150" w:type="dxa"/>
          <w:right w:w="200" w:type="dxa"/>
        </w:tblCellMar>
      </w:tblPr>
      <w:tblGrid>
        <w:gridCol w:w="9706"/>
      </w:tblGrid>
      <w:tr>
        <w:trPr/>
        <w:tc>
          <w:tcPr>
            <w:tcW w:w="9706" w:type="dxa"/>
            <w:tcBorders>
              <w:top w:val="single" w:sz="4" w:space="0" w:color="B8860B"/>
              <w:left w:val="single" w:sz="4" w:space="0" w:color="B8860B"/>
              <w:bottom w:val="single" w:sz="4" w:space="0" w:color="B8860B"/>
              <w:right w:val="single" w:sz="4" w:space="0" w:color="B8860B"/>
            </w:tcBorders>
            <w:shd w:fill="FBF6E9" w:val="clear"/>
          </w:tcPr>
          <w:p>
            <w:pPr>
              <w:pStyle w:val="Normal"/>
              <w:rPr/>
            </w:pPr>
            <w:r>
              <w:rPr>
                <w:rFonts w:eastAsia="Calibri" w:cs="Calibri"/>
                <w:i/>
                <w:iCs/>
                <w:color w:val="5A4A00"/>
                <w:sz w:val="20"/>
                <w:szCs w:val="20"/>
              </w:rPr>
              <w:t>All monetary values, claims scenarios, contribution levels and financial projections in this proposal are conceptual planning assumptions. They should not be represented as a final quotation or guaranteed benefit until validated by an appointed actuary, the participating regulated provider, legal/compliance advisers and the relevant regulatory and government procurement authorities.</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00" w:right="1100" w:gutter="0" w:header="708" w:top="1000" w:footer="708" w:bottom="10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666666"/>
        <w:sz w:val="16"/>
        <w:szCs w:val="16"/>
      </w:rPr>
      <w:t xml:space="preserve">Confidential — Product-Development Concept   |   Page </w:t>
    </w:r>
    <w:r>
      <w:rPr/>
      <w:fldChar w:fldCharType="begin"/>
    </w:r>
    <w:r>
      <w:rPr/>
      <w:instrText xml:space="preserve"> PAGE </w:instrText>
    </w:r>
    <w:r>
      <w:rPr/>
      <w:fldChar w:fldCharType="separate"/>
    </w:r>
    <w:r>
      <w:rPr/>
      <w:t>14</w:t>
    </w:r>
    <w:r>
      <w:rPr/>
      <w:fldChar w:fldCharType="end"/>
    </w:r>
    <w:r>
      <w:rPr>
        <w:rFonts w:eastAsia="Calibri" w:cs="Calibri"/>
        <w:color w:val="666666"/>
        <w:sz w:val="16"/>
        <w:szCs w:val="16"/>
      </w:rPr>
      <w:t xml:space="preserve"> of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666666"/>
        <w:sz w:val="16"/>
        <w:szCs w:val="16"/>
      </w:rPr>
      <w:t xml:space="preserve">Confidential — Product-Development Concept   |   Page </w:t>
    </w:r>
    <w:r>
      <w:rPr/>
      <w:fldChar w:fldCharType="begin"/>
    </w:r>
    <w:r>
      <w:rPr/>
      <w:instrText xml:space="preserve"> PAGE </w:instrText>
    </w:r>
    <w:r>
      <w:rPr/>
      <w:fldChar w:fldCharType="separate"/>
    </w:r>
    <w:r>
      <w:rPr/>
      <w:t>14</w:t>
    </w:r>
    <w:r>
      <w:rPr/>
      <w:fldChar w:fldCharType="end"/>
    </w:r>
    <w:r>
      <w:rPr>
        <w:rFonts w:eastAsia="Calibri" w:cs="Calibri"/>
        <w:color w:val="666666"/>
        <w:sz w:val="16"/>
        <w:szCs w:val="16"/>
      </w:rPr>
      <w:t xml:space="preserve"> of </w:t>
    </w:r>
    <w:r>
      <w:rPr/>
      <w:fldChar w:fldCharType="begin"/>
    </w:r>
    <w:r>
      <w:rPr/>
      <w:instrText xml:space="preserve"> NUMPAGES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jc w:val="right"/>
      <w:rPr/>
    </w:pPr>
    <w:r>
      <w:rPr>
        <w:rFonts w:eastAsia="Calibri" w:cs="Calibri"/>
        <w:i/>
        <w:iCs/>
        <w:color w:val="666666"/>
        <w:sz w:val="16"/>
        <w:szCs w:val="16"/>
      </w:rPr>
      <w:t>Civil Servant Protect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jc w:val="right"/>
      <w:rPr/>
    </w:pPr>
    <w:r>
      <w:rPr>
        <w:rFonts w:eastAsia="Calibri" w:cs="Calibri"/>
        <w:i/>
        <w:iCs/>
        <w:color w:val="666666"/>
        <w:sz w:val="16"/>
        <w:szCs w:val="16"/>
      </w:rPr>
      <w:t>Civil Servant Protect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333333"/>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333333"/>
      <w:kern w:val="0"/>
      <w:sz w:val="21"/>
      <w:szCs w:val="21"/>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333333"/>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333333"/>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06" w:leader="dot"/>
      </w:tabs>
      <w:ind w:hanging="0" w:left="0"/>
    </w:pPr>
    <w:rPr/>
  </w:style>
  <w:style w:type="paragraph" w:styleId="TOC2">
    <w:name w:val="TOC 2"/>
    <w:basedOn w:val="Index"/>
    <w:pPr>
      <w:tabs>
        <w:tab w:val="clear" w:pos="720"/>
        <w:tab w:val="right" w:pos="942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14</Pages>
  <Words>2440</Words>
  <Characters>16067</Characters>
  <CharactersWithSpaces>17916</CharactersWithSpaces>
  <Paragraphs>518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2026-08-28T21:56:13Z</dcterms:created>
  <dc:creator>Un-named</dc:creator>
  <dc:description/>
  <dc:language>en-US</dc:language>
  <cp:lastModifiedBy/>
  <dcterms:modified xsi:type="dcterms:W3CDTF">2026-08-28T22:04:09Z</dcterms:modified>
  <cp:revision>2</cp:revision>
  <dc:subject/>
  <dc:title/>
</cp:coreProperties>
</file>