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3C34"/>
          <w:sz w:val="44"/>
          <w:szCs w:val="44"/>
        </w:rPr>
        <w:t xml:space="preserve">SAHAKAR AI</w:t>
      </w:r>
    </w:p>
    <w:p>
      <w:pPr>
        <w:spacing w:after="100"/>
      </w:pPr>
      <w:r>
        <w:rPr>
          <w:color w:val="555555"/>
          <w:sz w:val="24"/>
          <w:szCs w:val="24"/>
        </w:rPr>
        <w:t xml:space="preserve">Idea &amp; Solution Statement</w:t>
      </w:r>
    </w:p>
    <w:p>
      <w:pPr>
        <w:spacing w:after="240"/>
      </w:pPr>
      <w:r>
        <w:rPr>
          <w:color w:val="666666"/>
          <w:sz w:val="16"/>
          <w:szCs w:val="16"/>
        </w:rPr>
        <w:t xml:space="preserve">Problem Statement: PS26088 — Multilingual Cooperative Governance &amp; Legal Assistance Chatbot  |  Ministry of Cooperation (NCCT)  |  Team: Mitras  |  Team Code: SIH26-TM-142</w:t>
      </w:r>
    </w:p>
    <w:p>
      <w:pPr>
        <w:pStyle w:val="Heading1"/>
        <w:spacing w:after="120" w:before="280"/>
      </w:pPr>
      <w:r>
        <w:rPr>
          <w:b/>
          <w:bCs/>
          <w:color w:val="1A3C34"/>
          <w:sz w:val="26"/>
          <w:szCs w:val="26"/>
        </w:rPr>
        <w:t xml:space="preserve">1. Background / Problem Understanding</w:t>
      </w:r>
    </w:p>
    <w:p>
      <w:pPr>
        <w:spacing w:after="90"/>
      </w:pPr>
      <w:r>
        <w:rPr>
          <w:sz w:val="20"/>
          <w:szCs w:val="20"/>
        </w:rPr>
        <w:t xml:space="preserve">Primary Agricultural Cooperative Societies (PACS) and cooperative institutions serve millions of rural farmers and members across India, but access to schemes, KCC (Kisan Credit Card) benefits, legal guidance, and cooperative governance information remains heavily dependent on manual, staff-mediated processes. This creates three core problems:</w:t>
      </w:r>
    </w:p>
    <w:p>
      <w:pPr>
        <w:pStyle w:val="ListParagraph"/>
        <w:numPr>
          <w:ilvl w:val="0"/>
          <w:numId w:val="2"/>
        </w:numPr>
        <w:spacing w:after="60"/>
      </w:pPr>
      <w:r>
        <w:rPr>
          <w:b/>
          <w:bCs/>
          <w:sz w:val="20"/>
          <w:szCs w:val="20"/>
        </w:rPr>
        <w:t xml:space="preserve">Language barrier</w:t>
      </w:r>
      <w:r>
        <w:rPr>
          <w:sz w:val="20"/>
          <w:szCs w:val="20"/>
        </w:rPr>
        <w:t xml:space="preserve"> — most digital government tools (chatbots, portals) support only English/Hindi, excluding a large share of rural, regional-language-speaking members.</w:t>
      </w:r>
    </w:p>
    <w:p>
      <w:pPr>
        <w:pStyle w:val="ListParagraph"/>
        <w:numPr>
          <w:ilvl w:val="0"/>
          <w:numId w:val="2"/>
        </w:numPr>
        <w:spacing w:after="60"/>
      </w:pPr>
      <w:r>
        <w:rPr>
          <w:b/>
          <w:bCs/>
          <w:sz w:val="20"/>
          <w:szCs w:val="20"/>
        </w:rPr>
        <w:t xml:space="preserve">Literacy and access barrier</w:t>
      </w:r>
      <w:r>
        <w:rPr>
          <w:sz w:val="20"/>
          <w:szCs w:val="20"/>
        </w:rPr>
        <w:t xml:space="preserve"> — smartphone/app-based solutions assume digital literacy and smartphone ownership, which many PACS members lack.</w:t>
      </w:r>
    </w:p>
    <w:p>
      <w:pPr>
        <w:pStyle w:val="ListParagraph"/>
        <w:numPr>
          <w:ilvl w:val="0"/>
          <w:numId w:val="2"/>
        </w:numPr>
        <w:spacing w:after="60"/>
      </w:pPr>
      <w:r>
        <w:rPr>
          <w:b/>
          <w:bCs/>
          <w:sz w:val="20"/>
          <w:szCs w:val="20"/>
        </w:rPr>
        <w:t xml:space="preserve">Process delay</w:t>
      </w:r>
      <w:r>
        <w:rPr>
          <w:sz w:val="20"/>
          <w:szCs w:val="20"/>
        </w:rPr>
        <w:t xml:space="preserve"> — scheme applications, KCC processing, and legal queries require multiple physical visits, manual paperwork, and staff availability, often taking days.</w:t>
      </w:r>
    </w:p>
    <w:p>
      <w:pPr>
        <w:pStyle w:val="Heading1"/>
        <w:spacing w:after="120" w:before="280"/>
      </w:pPr>
      <w:r>
        <w:rPr>
          <w:b/>
          <w:bCs/>
          <w:color w:val="1A3C34"/>
          <w:sz w:val="26"/>
          <w:szCs w:val="26"/>
        </w:rPr>
        <w:t xml:space="preserve">2. Proposed Solution</w:t>
      </w:r>
    </w:p>
    <w:p>
      <w:pPr>
        <w:spacing w:after="90"/>
      </w:pPr>
      <w:r>
        <w:rPr>
          <w:b/>
          <w:bCs/>
          <w:sz w:val="20"/>
          <w:szCs w:val="20"/>
        </w:rPr>
        <w:t xml:space="preserve">SAHAKAR AI</w:t>
      </w:r>
      <w:r>
        <w:rPr>
          <w:sz w:val="20"/>
          <w:szCs w:val="20"/>
        </w:rPr>
        <w:t xml:space="preserve"> is a physical, kiosk-based, voice-first AI assistant deployed directly at PACS branches that lets a member walk up, tap their ID, speak in their own language, and walk away with their query resolved and a printed proof of transaction — without needing a smartphone, literacy in English/Hindi, or staff mediation for routine queries.</w:t>
      </w:r>
    </w:p>
    <w:p>
      <w:pPr>
        <w:spacing w:after="60" w:before="140"/>
      </w:pPr>
      <w:r>
        <w:rPr>
          <w:b/>
          <w:bCs/>
          <w:color w:val="2E5C50"/>
          <w:sz w:val="21"/>
          <w:szCs w:val="21"/>
        </w:rPr>
        <w:t xml:space="preserve">Core capabilities</w:t>
      </w:r>
    </w:p>
    <w:p>
      <w:pPr>
        <w:pStyle w:val="ListParagraph"/>
        <w:numPr>
          <w:ilvl w:val="0"/>
          <w:numId w:val="2"/>
        </w:numPr>
        <w:spacing w:after="60"/>
      </w:pPr>
      <w:r>
        <w:rPr>
          <w:b/>
          <w:bCs/>
          <w:sz w:val="20"/>
          <w:szCs w:val="20"/>
        </w:rPr>
        <w:t xml:space="preserve">Multilingual voice interaction</w:t>
      </w:r>
      <w:r>
        <w:rPr>
          <w:sz w:val="20"/>
          <w:szCs w:val="20"/>
        </w:rPr>
        <w:t xml:space="preserve"> — powered by Bhashini (government STT/TTS), supporting regional Indian languages.</w:t>
      </w:r>
    </w:p>
    <w:p>
      <w:pPr>
        <w:pStyle w:val="ListParagraph"/>
        <w:numPr>
          <w:ilvl w:val="0"/>
          <w:numId w:val="2"/>
        </w:numPr>
        <w:spacing w:after="60"/>
      </w:pPr>
      <w:r>
        <w:rPr>
          <w:b/>
          <w:bCs/>
          <w:sz w:val="20"/>
          <w:szCs w:val="20"/>
        </w:rPr>
        <w:t xml:space="preserve">Identity-linked access</w:t>
      </w:r>
      <w:r>
        <w:rPr>
          <w:sz w:val="20"/>
          <w:szCs w:val="20"/>
        </w:rPr>
        <w:t xml:space="preserve"> — NFC/RFID tap or PACS ID lookup for instant, personalized service.</w:t>
      </w:r>
    </w:p>
    <w:p>
      <w:pPr>
        <w:pStyle w:val="ListParagraph"/>
        <w:numPr>
          <w:ilvl w:val="0"/>
          <w:numId w:val="2"/>
        </w:numPr>
        <w:spacing w:after="60"/>
      </w:pPr>
      <w:r>
        <w:rPr>
          <w:b/>
          <w:bCs/>
          <w:sz w:val="20"/>
          <w:szCs w:val="20"/>
        </w:rPr>
        <w:t xml:space="preserve">AI-grounded answers</w:t>
      </w:r>
      <w:r>
        <w:rPr>
          <w:sz w:val="20"/>
          <w:szCs w:val="20"/>
        </w:rPr>
        <w:t xml:space="preserve"> — a local RAG pipeline answers from verified government documents (PACS bylaws, KCC rules, scheme guidelines), not generic/unverified information.</w:t>
      </w:r>
    </w:p>
    <w:p>
      <w:pPr>
        <w:pStyle w:val="ListParagraph"/>
        <w:numPr>
          <w:ilvl w:val="0"/>
          <w:numId w:val="2"/>
        </w:numPr>
        <w:spacing w:after="60"/>
      </w:pPr>
      <w:r>
        <w:rPr>
          <w:b/>
          <w:bCs/>
          <w:sz w:val="20"/>
          <w:szCs w:val="20"/>
        </w:rPr>
        <w:t xml:space="preserve">Auto-form-fill</w:t>
      </w:r>
      <w:r>
        <w:rPr>
          <w:sz w:val="20"/>
          <w:szCs w:val="20"/>
        </w:rPr>
        <w:t xml:space="preserve"> — automatically populates KCC/scheme application forms on the PACS admin portal based on the voice conversation.</w:t>
      </w:r>
    </w:p>
    <w:p>
      <w:pPr>
        <w:pStyle w:val="ListParagraph"/>
        <w:numPr>
          <w:ilvl w:val="0"/>
          <w:numId w:val="2"/>
        </w:numPr>
        <w:spacing w:after="60"/>
      </w:pPr>
      <w:r>
        <w:rPr>
          <w:b/>
          <w:bCs/>
          <w:sz w:val="20"/>
          <w:szCs w:val="20"/>
        </w:rPr>
        <w:t xml:space="preserve">Physical proof of interaction</w:t>
      </w:r>
      <w:r>
        <w:rPr>
          <w:sz w:val="20"/>
          <w:szCs w:val="20"/>
        </w:rPr>
        <w:t xml:space="preserve"> — prints a thermal receipt with a unique application ID and QR code for later tracking, and dispatches a government SMS confirmation.</w:t>
      </w:r>
    </w:p>
    <w:p>
      <w:pPr>
        <w:pStyle w:val="ListParagraph"/>
        <w:numPr>
          <w:ilvl w:val="0"/>
          <w:numId w:val="2"/>
        </w:numPr>
        <w:spacing w:after="60"/>
      </w:pPr>
      <w:r>
        <w:rPr>
          <w:b/>
          <w:bCs/>
          <w:sz w:val="20"/>
          <w:szCs w:val="20"/>
        </w:rPr>
        <w:t xml:space="preserve">Offline resilience</w:t>
      </w:r>
      <w:r>
        <w:rPr>
          <w:sz w:val="20"/>
          <w:szCs w:val="20"/>
        </w:rPr>
        <w:t xml:space="preserve"> — falls back to a local cached knowledge base during rural internet outages, syncing once connectivity returns.</w:t>
      </w:r>
    </w:p>
    <w:p>
      <w:pPr>
        <w:pStyle w:val="Heading1"/>
        <w:spacing w:after="120" w:before="280"/>
      </w:pPr>
      <w:r>
        <w:rPr>
          <w:b/>
          <w:bCs/>
          <w:color w:val="1A3C34"/>
          <w:sz w:val="26"/>
          <w:szCs w:val="26"/>
        </w:rPr>
        <w:t xml:space="preserve">3. How It's Different (USP)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00"/>
        <w:gridCol w:w="1700"/>
        <w:gridCol w:w="2200"/>
      </w:tblGrid>
      <w:tr>
        <w:tc>
          <w:tcPr>
            <w:tcW w:type="dxa" w:w="1900"/>
            <w:shd w:fill="1A3C34" w:val="clear"/>
            <w:tcMar>
              <w:top w:type="dxa" w:w="80"/>
              <w:left w:type="dxa" w:w="100"/>
              <w:bottom w:type="dxa" w:w="80"/>
              <w:right w:type="dxa" w:w="100"/>
            </w:tcMar>
          </w:tcPr>
          <w:p>
            <w:r>
              <w:rPr>
                <w:b/>
                <w:bCs/>
                <w:color w:val="FFFFFF"/>
                <w:sz w:val="16"/>
                <w:szCs w:val="16"/>
              </w:rPr>
              <w:t xml:space="preserve"/>
            </w:r>
          </w:p>
        </w:tc>
        <w:tc>
          <w:tcPr>
            <w:tcW w:type="dxa" w:w="1900"/>
            <w:shd w:fill="1A3C34" w:val="clear"/>
            <w:tcMar>
              <w:top w:type="dxa" w:w="80"/>
              <w:left w:type="dxa" w:w="100"/>
              <w:bottom w:type="dxa" w:w="80"/>
              <w:right w:type="dxa" w:w="100"/>
            </w:tcMar>
          </w:tcPr>
          <w:p>
            <w:r>
              <w:rPr>
                <w:b/>
                <w:bCs/>
                <w:color w:val="FFFFFF"/>
                <w:sz w:val="16"/>
                <w:szCs w:val="16"/>
              </w:rPr>
              <w:t xml:space="preserve">Manual PACS process</w:t>
            </w:r>
          </w:p>
        </w:tc>
        <w:tc>
          <w:tcPr>
            <w:tcW w:type="dxa" w:w="2000"/>
            <w:shd w:fill="1A3C34" w:val="clear"/>
            <w:tcMar>
              <w:top w:type="dxa" w:w="80"/>
              <w:left w:type="dxa" w:w="100"/>
              <w:bottom w:type="dxa" w:w="80"/>
              <w:right w:type="dxa" w:w="100"/>
            </w:tcMar>
          </w:tcPr>
          <w:p>
            <w:r>
              <w:rPr>
                <w:b/>
                <w:bCs/>
                <w:color w:val="FFFFFF"/>
                <w:sz w:val="16"/>
                <w:szCs w:val="16"/>
              </w:rPr>
              <w:t xml:space="preserve">Govt. chatbots (e.g. Kisan e-Mitra)</w:t>
            </w:r>
          </w:p>
        </w:tc>
        <w:tc>
          <w:tcPr>
            <w:tcW w:type="dxa" w:w="1700"/>
            <w:shd w:fill="1A3C34" w:val="clear"/>
            <w:tcMar>
              <w:top w:type="dxa" w:w="80"/>
              <w:left w:type="dxa" w:w="100"/>
              <w:bottom w:type="dxa" w:w="80"/>
              <w:right w:type="dxa" w:w="100"/>
            </w:tcMar>
          </w:tcPr>
          <w:p>
            <w:r>
              <w:rPr>
                <w:b/>
                <w:bCs/>
                <w:color w:val="FFFFFF"/>
                <w:sz w:val="16"/>
                <w:szCs w:val="16"/>
              </w:rPr>
              <w:t xml:space="preserve">Generic apps</w:t>
            </w:r>
          </w:p>
        </w:tc>
        <w:tc>
          <w:tcPr>
            <w:tcW w:type="dxa" w:w="2200"/>
            <w:shd w:fill="1A3C34" w:val="clear"/>
            <w:tcMar>
              <w:top w:type="dxa" w:w="80"/>
              <w:left w:type="dxa" w:w="100"/>
              <w:bottom w:type="dxa" w:w="80"/>
              <w:right w:type="dxa" w:w="100"/>
            </w:tcMar>
          </w:tcPr>
          <w:p>
            <w:r>
              <w:rPr>
                <w:b/>
                <w:bCs/>
                <w:color w:val="FFFFFF"/>
                <w:sz w:val="16"/>
                <w:szCs w:val="16"/>
              </w:rPr>
              <w:t xml:space="preserve">SAHAKAR AI</w:t>
            </w:r>
          </w:p>
        </w:tc>
      </w:tr>
      <w:tr>
        <w:tc>
          <w:tcPr>
            <w:tcW w:type="dxa" w:w="1900"/>
            <w:tcMar>
              <w:top w:type="dxa" w:w="80"/>
              <w:left w:type="dxa" w:w="100"/>
              <w:bottom w:type="dxa" w:w="80"/>
              <w:right w:type="dxa" w:w="100"/>
            </w:tcMar>
          </w:tcPr>
          <w:p>
            <w:r>
              <w:rPr>
                <w:b w:val="false"/>
                <w:bCs w:val="false"/>
                <w:color w:val="000000"/>
                <w:sz w:val="16"/>
                <w:szCs w:val="16"/>
              </w:rPr>
              <w:t xml:space="preserve">Language coverage</w:t>
            </w:r>
          </w:p>
        </w:tc>
        <w:tc>
          <w:tcPr>
            <w:tcW w:type="dxa" w:w="1900"/>
            <w:tcMar>
              <w:top w:type="dxa" w:w="80"/>
              <w:left w:type="dxa" w:w="100"/>
              <w:bottom w:type="dxa" w:w="80"/>
              <w:right w:type="dxa" w:w="100"/>
            </w:tcMar>
          </w:tcPr>
          <w:p>
            <w:r>
              <w:rPr>
                <w:b w:val="false"/>
                <w:bCs w:val="false"/>
                <w:color w:val="000000"/>
                <w:sz w:val="16"/>
                <w:szCs w:val="16"/>
              </w:rPr>
              <w:t xml:space="preserve">Staff-dependent</w:t>
            </w:r>
          </w:p>
        </w:tc>
        <w:tc>
          <w:tcPr>
            <w:tcW w:type="dxa" w:w="2000"/>
            <w:tcMar>
              <w:top w:type="dxa" w:w="80"/>
              <w:left w:type="dxa" w:w="100"/>
              <w:bottom w:type="dxa" w:w="80"/>
              <w:right w:type="dxa" w:w="100"/>
            </w:tcMar>
          </w:tcPr>
          <w:p>
            <w:r>
              <w:rPr>
                <w:b w:val="false"/>
                <w:bCs w:val="false"/>
                <w:color w:val="000000"/>
                <w:sz w:val="16"/>
                <w:szCs w:val="16"/>
              </w:rPr>
              <w:t xml:space="preserve">Limited (Eng/Hindi)</w:t>
            </w:r>
          </w:p>
        </w:tc>
        <w:tc>
          <w:tcPr>
            <w:tcW w:type="dxa" w:w="1700"/>
            <w:tcMar>
              <w:top w:type="dxa" w:w="80"/>
              <w:left w:type="dxa" w:w="100"/>
              <w:bottom w:type="dxa" w:w="80"/>
              <w:right w:type="dxa" w:w="100"/>
            </w:tcMar>
          </w:tcPr>
          <w:p>
            <w:r>
              <w:rPr>
                <w:b w:val="false"/>
                <w:bCs w:val="false"/>
                <w:color w:val="000000"/>
                <w:sz w:val="16"/>
                <w:szCs w:val="16"/>
              </w:rPr>
              <w:t xml:space="preserve">Usually Eng/Hindi</w:t>
            </w:r>
          </w:p>
        </w:tc>
        <w:tc>
          <w:tcPr>
            <w:tcW w:type="dxa" w:w="2200"/>
            <w:tcMar>
              <w:top w:type="dxa" w:w="80"/>
              <w:left w:type="dxa" w:w="100"/>
              <w:bottom w:type="dxa" w:w="80"/>
              <w:right w:type="dxa" w:w="100"/>
            </w:tcMar>
          </w:tcPr>
          <w:p>
            <w:r>
              <w:rPr>
                <w:b w:val="false"/>
                <w:bCs w:val="false"/>
                <w:color w:val="000000"/>
                <w:sz w:val="16"/>
                <w:szCs w:val="16"/>
              </w:rPr>
              <w:t xml:space="preserve">Full Bhashini multilingual</w:t>
            </w:r>
          </w:p>
        </w:tc>
      </w:tr>
      <w:tr>
        <w:tc>
          <w:tcPr>
            <w:tcW w:type="dxa" w:w="1900"/>
            <w:shd w:fill="F2F6F4" w:val="clear"/>
            <w:tcMar>
              <w:top w:type="dxa" w:w="80"/>
              <w:left w:type="dxa" w:w="100"/>
              <w:bottom w:type="dxa" w:w="80"/>
              <w:right w:type="dxa" w:w="100"/>
            </w:tcMar>
          </w:tcPr>
          <w:p>
            <w:r>
              <w:rPr>
                <w:b w:val="false"/>
                <w:bCs w:val="false"/>
                <w:color w:val="000000"/>
                <w:sz w:val="16"/>
                <w:szCs w:val="16"/>
              </w:rPr>
              <w:t xml:space="preserve">Needs smartphone</w:t>
            </w:r>
          </w:p>
        </w:tc>
        <w:tc>
          <w:tcPr>
            <w:tcW w:type="dxa" w:w="1900"/>
            <w:shd w:fill="F2F6F4" w:val="clear"/>
            <w:tcMar>
              <w:top w:type="dxa" w:w="80"/>
              <w:left w:type="dxa" w:w="100"/>
              <w:bottom w:type="dxa" w:w="80"/>
              <w:right w:type="dxa" w:w="100"/>
            </w:tcMar>
          </w:tcPr>
          <w:p>
            <w:r>
              <w:rPr>
                <w:b w:val="false"/>
                <w:bCs w:val="false"/>
                <w:color w:val="000000"/>
                <w:sz w:val="16"/>
                <w:szCs w:val="16"/>
              </w:rPr>
              <w:t xml:space="preserve">No</w:t>
            </w:r>
          </w:p>
        </w:tc>
        <w:tc>
          <w:tcPr>
            <w:tcW w:type="dxa" w:w="2000"/>
            <w:shd w:fill="F2F6F4" w:val="clear"/>
            <w:tcMar>
              <w:top w:type="dxa" w:w="80"/>
              <w:left w:type="dxa" w:w="100"/>
              <w:bottom w:type="dxa" w:w="80"/>
              <w:right w:type="dxa" w:w="100"/>
            </w:tcMar>
          </w:tcPr>
          <w:p>
            <w:r>
              <w:rPr>
                <w:b w:val="false"/>
                <w:bCs w:val="false"/>
                <w:color w:val="000000"/>
                <w:sz w:val="16"/>
                <w:szCs w:val="16"/>
              </w:rPr>
              <w:t xml:space="preserve">Yes</w:t>
            </w:r>
          </w:p>
        </w:tc>
        <w:tc>
          <w:tcPr>
            <w:tcW w:type="dxa" w:w="1700"/>
            <w:shd w:fill="F2F6F4" w:val="clear"/>
            <w:tcMar>
              <w:top w:type="dxa" w:w="80"/>
              <w:left w:type="dxa" w:w="100"/>
              <w:bottom w:type="dxa" w:w="80"/>
              <w:right w:type="dxa" w:w="100"/>
            </w:tcMar>
          </w:tcPr>
          <w:p>
            <w:r>
              <w:rPr>
                <w:b w:val="false"/>
                <w:bCs w:val="false"/>
                <w:color w:val="000000"/>
                <w:sz w:val="16"/>
                <w:szCs w:val="16"/>
              </w:rPr>
              <w:t xml:space="preserve">Yes</w:t>
            </w:r>
          </w:p>
        </w:tc>
        <w:tc>
          <w:tcPr>
            <w:tcW w:type="dxa" w:w="2200"/>
            <w:shd w:fill="F2F6F4" w:val="clear"/>
            <w:tcMar>
              <w:top w:type="dxa" w:w="80"/>
              <w:left w:type="dxa" w:w="100"/>
              <w:bottom w:type="dxa" w:w="80"/>
              <w:right w:type="dxa" w:w="100"/>
            </w:tcMar>
          </w:tcPr>
          <w:p>
            <w:r>
              <w:rPr>
                <w:b w:val="false"/>
                <w:bCs w:val="false"/>
                <w:color w:val="000000"/>
                <w:sz w:val="16"/>
                <w:szCs w:val="16"/>
              </w:rPr>
              <w:t xml:space="preserve">No — physical kiosk</w:t>
            </w:r>
          </w:p>
        </w:tc>
      </w:tr>
      <w:tr>
        <w:tc>
          <w:tcPr>
            <w:tcW w:type="dxa" w:w="1900"/>
            <w:tcMar>
              <w:top w:type="dxa" w:w="80"/>
              <w:left w:type="dxa" w:w="100"/>
              <w:bottom w:type="dxa" w:w="80"/>
              <w:right w:type="dxa" w:w="100"/>
            </w:tcMar>
          </w:tcPr>
          <w:p>
            <w:r>
              <w:rPr>
                <w:b w:val="false"/>
                <w:bCs w:val="false"/>
                <w:color w:val="000000"/>
                <w:sz w:val="16"/>
                <w:szCs w:val="16"/>
              </w:rPr>
              <w:t xml:space="preserve">Works offline</w:t>
            </w:r>
          </w:p>
        </w:tc>
        <w:tc>
          <w:tcPr>
            <w:tcW w:type="dxa" w:w="1900"/>
            <w:tcMar>
              <w:top w:type="dxa" w:w="80"/>
              <w:left w:type="dxa" w:w="100"/>
              <w:bottom w:type="dxa" w:w="80"/>
              <w:right w:type="dxa" w:w="100"/>
            </w:tcMar>
          </w:tcPr>
          <w:p>
            <w:r>
              <w:rPr>
                <w:b w:val="false"/>
                <w:bCs w:val="false"/>
                <w:color w:val="000000"/>
                <w:sz w:val="16"/>
                <w:szCs w:val="16"/>
              </w:rPr>
              <w:t xml:space="preserve">N/A</w:t>
            </w:r>
          </w:p>
        </w:tc>
        <w:tc>
          <w:tcPr>
            <w:tcW w:type="dxa" w:w="2000"/>
            <w:tcMar>
              <w:top w:type="dxa" w:w="80"/>
              <w:left w:type="dxa" w:w="100"/>
              <w:bottom w:type="dxa" w:w="80"/>
              <w:right w:type="dxa" w:w="100"/>
            </w:tcMar>
          </w:tcPr>
          <w:p>
            <w:r>
              <w:rPr>
                <w:b w:val="false"/>
                <w:bCs w:val="false"/>
                <w:color w:val="000000"/>
                <w:sz w:val="16"/>
                <w:szCs w:val="16"/>
              </w:rPr>
              <w:t xml:space="preserve">No</w:t>
            </w:r>
          </w:p>
        </w:tc>
        <w:tc>
          <w:tcPr>
            <w:tcW w:type="dxa" w:w="1700"/>
            <w:tcMar>
              <w:top w:type="dxa" w:w="80"/>
              <w:left w:type="dxa" w:w="100"/>
              <w:bottom w:type="dxa" w:w="80"/>
              <w:right w:type="dxa" w:w="100"/>
            </w:tcMar>
          </w:tcPr>
          <w:p>
            <w:r>
              <w:rPr>
                <w:b w:val="false"/>
                <w:bCs w:val="false"/>
                <w:color w:val="000000"/>
                <w:sz w:val="16"/>
                <w:szCs w:val="16"/>
              </w:rPr>
              <w:t xml:space="preserve">No</w:t>
            </w:r>
          </w:p>
        </w:tc>
        <w:tc>
          <w:tcPr>
            <w:tcW w:type="dxa" w:w="2200"/>
            <w:tcMar>
              <w:top w:type="dxa" w:w="80"/>
              <w:left w:type="dxa" w:w="100"/>
              <w:bottom w:type="dxa" w:w="80"/>
              <w:right w:type="dxa" w:w="100"/>
            </w:tcMar>
          </w:tcPr>
          <w:p>
            <w:r>
              <w:rPr>
                <w:b w:val="false"/>
                <w:bCs w:val="false"/>
                <w:color w:val="000000"/>
                <w:sz w:val="16"/>
                <w:szCs w:val="16"/>
              </w:rPr>
              <w:t xml:space="preserve">Yes</w:t>
            </w:r>
          </w:p>
        </w:tc>
      </w:tr>
      <w:tr>
        <w:tc>
          <w:tcPr>
            <w:tcW w:type="dxa" w:w="1900"/>
            <w:shd w:fill="F2F6F4" w:val="clear"/>
            <w:tcMar>
              <w:top w:type="dxa" w:w="80"/>
              <w:left w:type="dxa" w:w="100"/>
              <w:bottom w:type="dxa" w:w="80"/>
              <w:right w:type="dxa" w:w="100"/>
            </w:tcMar>
          </w:tcPr>
          <w:p>
            <w:r>
              <w:rPr>
                <w:b w:val="false"/>
                <w:bCs w:val="false"/>
                <w:color w:val="000000"/>
                <w:sz w:val="16"/>
                <w:szCs w:val="16"/>
              </w:rPr>
              <w:t xml:space="preserve">Identity verification</w:t>
            </w:r>
          </w:p>
        </w:tc>
        <w:tc>
          <w:tcPr>
            <w:tcW w:type="dxa" w:w="1900"/>
            <w:shd w:fill="F2F6F4" w:val="clear"/>
            <w:tcMar>
              <w:top w:type="dxa" w:w="80"/>
              <w:left w:type="dxa" w:w="100"/>
              <w:bottom w:type="dxa" w:w="80"/>
              <w:right w:type="dxa" w:w="100"/>
            </w:tcMar>
          </w:tcPr>
          <w:p>
            <w:r>
              <w:rPr>
                <w:b w:val="false"/>
                <w:bCs w:val="false"/>
                <w:color w:val="000000"/>
                <w:sz w:val="16"/>
                <w:szCs w:val="16"/>
              </w:rPr>
              <w:t xml:space="preserve">Manual paperwork</w:t>
            </w:r>
          </w:p>
        </w:tc>
        <w:tc>
          <w:tcPr>
            <w:tcW w:type="dxa" w:w="2000"/>
            <w:shd w:fill="F2F6F4" w:val="clear"/>
            <w:tcMar>
              <w:top w:type="dxa" w:w="80"/>
              <w:left w:type="dxa" w:w="100"/>
              <w:bottom w:type="dxa" w:w="80"/>
              <w:right w:type="dxa" w:w="100"/>
            </w:tcMar>
          </w:tcPr>
          <w:p>
            <w:r>
              <w:rPr>
                <w:b w:val="false"/>
                <w:bCs w:val="false"/>
                <w:color w:val="000000"/>
                <w:sz w:val="16"/>
                <w:szCs w:val="16"/>
              </w:rPr>
              <w:t xml:space="preserve">None</w:t>
            </w:r>
          </w:p>
        </w:tc>
        <w:tc>
          <w:tcPr>
            <w:tcW w:type="dxa" w:w="1700"/>
            <w:shd w:fill="F2F6F4" w:val="clear"/>
            <w:tcMar>
              <w:top w:type="dxa" w:w="80"/>
              <w:left w:type="dxa" w:w="100"/>
              <w:bottom w:type="dxa" w:w="80"/>
              <w:right w:type="dxa" w:w="100"/>
            </w:tcMar>
          </w:tcPr>
          <w:p>
            <w:r>
              <w:rPr>
                <w:b w:val="false"/>
                <w:bCs w:val="false"/>
                <w:color w:val="000000"/>
                <w:sz w:val="16"/>
                <w:szCs w:val="16"/>
              </w:rPr>
              <w:t xml:space="preserve">None</w:t>
            </w:r>
          </w:p>
        </w:tc>
        <w:tc>
          <w:tcPr>
            <w:tcW w:type="dxa" w:w="2200"/>
            <w:shd w:fill="F2F6F4" w:val="clear"/>
            <w:tcMar>
              <w:top w:type="dxa" w:w="80"/>
              <w:left w:type="dxa" w:w="100"/>
              <w:bottom w:type="dxa" w:w="80"/>
              <w:right w:type="dxa" w:w="100"/>
            </w:tcMar>
          </w:tcPr>
          <w:p>
            <w:r>
              <w:rPr>
                <w:b w:val="false"/>
                <w:bCs w:val="false"/>
                <w:color w:val="000000"/>
                <w:sz w:val="16"/>
                <w:szCs w:val="16"/>
              </w:rPr>
              <w:t xml:space="preserve">NFC/RFID, instant</w:t>
            </w:r>
          </w:p>
        </w:tc>
      </w:tr>
      <w:tr>
        <w:tc>
          <w:tcPr>
            <w:tcW w:type="dxa" w:w="1900"/>
            <w:tcMar>
              <w:top w:type="dxa" w:w="80"/>
              <w:left w:type="dxa" w:w="100"/>
              <w:bottom w:type="dxa" w:w="80"/>
              <w:right w:type="dxa" w:w="100"/>
            </w:tcMar>
          </w:tcPr>
          <w:p>
            <w:r>
              <w:rPr>
                <w:b w:val="false"/>
                <w:bCs w:val="false"/>
                <w:color w:val="000000"/>
                <w:sz w:val="16"/>
                <w:szCs w:val="16"/>
              </w:rPr>
              <w:t xml:space="preserve">Proof of transaction</w:t>
            </w:r>
          </w:p>
        </w:tc>
        <w:tc>
          <w:tcPr>
            <w:tcW w:type="dxa" w:w="1900"/>
            <w:tcMar>
              <w:top w:type="dxa" w:w="80"/>
              <w:left w:type="dxa" w:w="100"/>
              <w:bottom w:type="dxa" w:w="80"/>
              <w:right w:type="dxa" w:w="100"/>
            </w:tcMar>
          </w:tcPr>
          <w:p>
            <w:r>
              <w:rPr>
                <w:b w:val="false"/>
                <w:bCs w:val="false"/>
                <w:color w:val="000000"/>
                <w:sz w:val="16"/>
                <w:szCs w:val="16"/>
              </w:rPr>
              <w:t xml:space="preserve">Physical form, delayed</w:t>
            </w:r>
          </w:p>
        </w:tc>
        <w:tc>
          <w:tcPr>
            <w:tcW w:type="dxa" w:w="2000"/>
            <w:tcMar>
              <w:top w:type="dxa" w:w="80"/>
              <w:left w:type="dxa" w:w="100"/>
              <w:bottom w:type="dxa" w:w="80"/>
              <w:right w:type="dxa" w:w="100"/>
            </w:tcMar>
          </w:tcPr>
          <w:p>
            <w:r>
              <w:rPr>
                <w:b w:val="false"/>
                <w:bCs w:val="false"/>
                <w:color w:val="000000"/>
                <w:sz w:val="16"/>
                <w:szCs w:val="16"/>
              </w:rPr>
              <w:t xml:space="preserve">None</w:t>
            </w:r>
          </w:p>
        </w:tc>
        <w:tc>
          <w:tcPr>
            <w:tcW w:type="dxa" w:w="1700"/>
            <w:tcMar>
              <w:top w:type="dxa" w:w="80"/>
              <w:left w:type="dxa" w:w="100"/>
              <w:bottom w:type="dxa" w:w="80"/>
              <w:right w:type="dxa" w:w="100"/>
            </w:tcMar>
          </w:tcPr>
          <w:p>
            <w:r>
              <w:rPr>
                <w:b w:val="false"/>
                <w:bCs w:val="false"/>
                <w:color w:val="000000"/>
                <w:sz w:val="16"/>
                <w:szCs w:val="16"/>
              </w:rPr>
              <w:t xml:space="preserve">None</w:t>
            </w:r>
          </w:p>
        </w:tc>
        <w:tc>
          <w:tcPr>
            <w:tcW w:type="dxa" w:w="2200"/>
            <w:tcMar>
              <w:top w:type="dxa" w:w="80"/>
              <w:left w:type="dxa" w:w="100"/>
              <w:bottom w:type="dxa" w:w="80"/>
              <w:right w:type="dxa" w:w="100"/>
            </w:tcMar>
          </w:tcPr>
          <w:p>
            <w:r>
              <w:rPr>
                <w:b w:val="false"/>
                <w:bCs w:val="false"/>
                <w:color w:val="000000"/>
                <w:sz w:val="16"/>
                <w:szCs w:val="16"/>
              </w:rPr>
              <w:t xml:space="preserve">Instant receipt + QR</w:t>
            </w:r>
          </w:p>
        </w:tc>
      </w:tr>
      <w:tr>
        <w:tc>
          <w:tcPr>
            <w:tcW w:type="dxa" w:w="1900"/>
            <w:shd w:fill="F2F6F4" w:val="clear"/>
            <w:tcMar>
              <w:top w:type="dxa" w:w="80"/>
              <w:left w:type="dxa" w:w="100"/>
              <w:bottom w:type="dxa" w:w="80"/>
              <w:right w:type="dxa" w:w="100"/>
            </w:tcMar>
          </w:tcPr>
          <w:p>
            <w:r>
              <w:rPr>
                <w:b w:val="false"/>
                <w:bCs w:val="false"/>
                <w:color w:val="000000"/>
                <w:sz w:val="16"/>
                <w:szCs w:val="16"/>
              </w:rPr>
              <w:t xml:space="preserve">Literacy required</w:t>
            </w:r>
          </w:p>
        </w:tc>
        <w:tc>
          <w:tcPr>
            <w:tcW w:type="dxa" w:w="1900"/>
            <w:shd w:fill="F2F6F4" w:val="clear"/>
            <w:tcMar>
              <w:top w:type="dxa" w:w="80"/>
              <w:left w:type="dxa" w:w="100"/>
              <w:bottom w:type="dxa" w:w="80"/>
              <w:right w:type="dxa" w:w="100"/>
            </w:tcMar>
          </w:tcPr>
          <w:p>
            <w:r>
              <w:rPr>
                <w:b w:val="false"/>
                <w:bCs w:val="false"/>
                <w:color w:val="000000"/>
                <w:sz w:val="16"/>
                <w:szCs w:val="16"/>
              </w:rPr>
              <w:t xml:space="preserve">High</w:t>
            </w:r>
          </w:p>
        </w:tc>
        <w:tc>
          <w:tcPr>
            <w:tcW w:type="dxa" w:w="2000"/>
            <w:shd w:fill="F2F6F4" w:val="clear"/>
            <w:tcMar>
              <w:top w:type="dxa" w:w="80"/>
              <w:left w:type="dxa" w:w="100"/>
              <w:bottom w:type="dxa" w:w="80"/>
              <w:right w:type="dxa" w:w="100"/>
            </w:tcMar>
          </w:tcPr>
          <w:p>
            <w:r>
              <w:rPr>
                <w:b w:val="false"/>
                <w:bCs w:val="false"/>
                <w:color w:val="000000"/>
                <w:sz w:val="16"/>
                <w:szCs w:val="16"/>
              </w:rPr>
              <w:t xml:space="preserve">Medium-High</w:t>
            </w:r>
          </w:p>
        </w:tc>
        <w:tc>
          <w:tcPr>
            <w:tcW w:type="dxa" w:w="1700"/>
            <w:shd w:fill="F2F6F4" w:val="clear"/>
            <w:tcMar>
              <w:top w:type="dxa" w:w="80"/>
              <w:left w:type="dxa" w:w="100"/>
              <w:bottom w:type="dxa" w:w="80"/>
              <w:right w:type="dxa" w:w="100"/>
            </w:tcMar>
          </w:tcPr>
          <w:p>
            <w:r>
              <w:rPr>
                <w:b w:val="false"/>
                <w:bCs w:val="false"/>
                <w:color w:val="000000"/>
                <w:sz w:val="16"/>
                <w:szCs w:val="16"/>
              </w:rPr>
              <w:t xml:space="preserve">High</w:t>
            </w:r>
          </w:p>
        </w:tc>
        <w:tc>
          <w:tcPr>
            <w:tcW w:type="dxa" w:w="2200"/>
            <w:shd w:fill="F2F6F4" w:val="clear"/>
            <w:tcMar>
              <w:top w:type="dxa" w:w="80"/>
              <w:left w:type="dxa" w:w="100"/>
              <w:bottom w:type="dxa" w:w="80"/>
              <w:right w:type="dxa" w:w="100"/>
            </w:tcMar>
          </w:tcPr>
          <w:p>
            <w:r>
              <w:rPr>
                <w:b w:val="false"/>
                <w:bCs w:val="false"/>
                <w:color w:val="000000"/>
                <w:sz w:val="16"/>
                <w:szCs w:val="16"/>
              </w:rPr>
              <w:t xml:space="preserve">Low — voice-first</w:t>
            </w:r>
          </w:p>
        </w:tc>
      </w:tr>
    </w:tbl>
    <w:p>
      <w:pPr>
        <w:spacing w:before="200"/>
      </w:pPr>
    </w:p>
    <w:p>
      <w:pPr>
        <w:pStyle w:val="Heading1"/>
        <w:spacing w:after="120" w:before="280"/>
      </w:pPr>
      <w:r>
        <w:rPr>
          <w:b/>
          <w:bCs/>
          <w:color w:val="1A3C34"/>
          <w:sz w:val="26"/>
          <w:szCs w:val="26"/>
        </w:rPr>
        <w:t xml:space="preserve">4. Technical Approach</w:t>
      </w:r>
    </w:p>
    <w:p>
      <w:pPr>
        <w:pStyle w:val="ListParagraph"/>
        <w:numPr>
          <w:ilvl w:val="0"/>
          <w:numId w:val="2"/>
        </w:numPr>
        <w:spacing w:after="60"/>
      </w:pPr>
      <w:r>
        <w:rPr>
          <w:b/>
          <w:bCs/>
          <w:sz w:val="20"/>
          <w:szCs w:val="20"/>
        </w:rPr>
        <w:t xml:space="preserve">Hardware:</w:t>
      </w:r>
      <w:r>
        <w:rPr>
          <w:sz w:val="20"/>
          <w:szCs w:val="20"/>
        </w:rPr>
        <w:t xml:space="preserve"> Raspberry Pi 5 (8GB) core compute, 18.5" HD capacitive touchscreen, USB directional mic + speaker, NFC/RFID reader, thermal receipt printer, housed in a podium-style kiosk enclosure.</w:t>
      </w:r>
    </w:p>
    <w:p>
      <w:pPr>
        <w:pStyle w:val="ListParagraph"/>
        <w:numPr>
          <w:ilvl w:val="0"/>
          <w:numId w:val="2"/>
        </w:numPr>
        <w:spacing w:after="60"/>
      </w:pPr>
      <w:r>
        <w:rPr>
          <w:b/>
          <w:bCs/>
          <w:sz w:val="20"/>
          <w:szCs w:val="20"/>
        </w:rPr>
        <w:t xml:space="preserve">Software:</w:t>
      </w:r>
      <w:r>
        <w:rPr>
          <w:sz w:val="20"/>
          <w:szCs w:val="20"/>
        </w:rPr>
        <w:t xml:space="preserve"> Python/Flask backend, kiosk UI (PyQt/CustomTkinter or Electron), Bhashini API for voice, ChromaDB/SQLite for the RAG knowledge base, Ollama or API-based LLM for response generation.</w:t>
      </w:r>
    </w:p>
    <w:p>
      <w:pPr>
        <w:pStyle w:val="ListParagraph"/>
        <w:numPr>
          <w:ilvl w:val="0"/>
          <w:numId w:val="2"/>
        </w:numPr>
        <w:spacing w:after="60"/>
      </w:pPr>
      <w:r>
        <w:rPr>
          <w:b/>
          <w:bCs/>
          <w:sz w:val="20"/>
          <w:szCs w:val="20"/>
        </w:rPr>
        <w:t xml:space="preserve">Data source:</w:t>
      </w:r>
      <w:r>
        <w:rPr>
          <w:sz w:val="20"/>
          <w:szCs w:val="20"/>
        </w:rPr>
        <w:t xml:space="preserve"> Verified government documents from the Ministry of Cooperation, NABARD, and state cooperative departments, ingested as PDFs and centrally updated.</w:t>
      </w:r>
    </w:p>
    <w:p>
      <w:pPr>
        <w:pStyle w:val="Heading1"/>
        <w:spacing w:after="120" w:before="280"/>
      </w:pPr>
      <w:r>
        <w:rPr>
          <w:b/>
          <w:bCs/>
          <w:color w:val="1A3C34"/>
          <w:sz w:val="26"/>
          <w:szCs w:val="26"/>
        </w:rPr>
        <w:t xml:space="preserve">5. Feasibility</w:t>
      </w:r>
    </w:p>
    <w:p>
      <w:pPr>
        <w:spacing w:after="90"/>
      </w:pPr>
      <w:r>
        <w:rPr>
          <w:sz w:val="20"/>
          <w:szCs w:val="20"/>
        </w:rPr>
        <w:t xml:space="preserve">Every component used — Bhashini, Raspberry Pi kiosks, NFC/RFID, thermal printing — is mature, already deployed in production elsewhere in India, and requires no unproven R&amp;D. The team has already built and tested the backend and frontend; hardware integration is in progress. Cost per unit is low enough for realistic PACS-wide deployment, and the architecture scales by simply updating a central document set rather than retraining staff at each branch.</w:t>
      </w:r>
    </w:p>
    <w:p>
      <w:pPr>
        <w:pStyle w:val="Heading1"/>
        <w:spacing w:after="120" w:before="280"/>
      </w:pPr>
      <w:r>
        <w:rPr>
          <w:b/>
          <w:bCs/>
          <w:color w:val="1A3C34"/>
          <w:sz w:val="26"/>
          <w:szCs w:val="26"/>
        </w:rPr>
        <w:t xml:space="preserve">6. Impact &amp; Benefits</w:t>
      </w:r>
    </w:p>
    <w:p>
      <w:pPr>
        <w:pStyle w:val="ListParagraph"/>
        <w:numPr>
          <w:ilvl w:val="0"/>
          <w:numId w:val="2"/>
        </w:numPr>
        <w:spacing w:after="60"/>
      </w:pPr>
      <w:r>
        <w:rPr>
          <w:b/>
          <w:bCs/>
          <w:sz w:val="20"/>
          <w:szCs w:val="20"/>
        </w:rPr>
        <w:t xml:space="preserve">For members:</w:t>
      </w:r>
      <w:r>
        <w:rPr>
          <w:sz w:val="20"/>
          <w:szCs w:val="20"/>
        </w:rPr>
        <w:t xml:space="preserve"> faster, language-accessible, single-visit resolution of scheme/KCC/legal queries.</w:t>
      </w:r>
    </w:p>
    <w:p>
      <w:pPr>
        <w:pStyle w:val="ListParagraph"/>
        <w:numPr>
          <w:ilvl w:val="0"/>
          <w:numId w:val="2"/>
        </w:numPr>
        <w:spacing w:after="60"/>
      </w:pPr>
      <w:r>
        <w:rPr>
          <w:b/>
          <w:bCs/>
          <w:sz w:val="20"/>
          <w:szCs w:val="20"/>
        </w:rPr>
        <w:t xml:space="preserve">For PACS staff:</w:t>
      </w:r>
      <w:r>
        <w:rPr>
          <w:sz w:val="20"/>
          <w:szCs w:val="20"/>
        </w:rPr>
        <w:t xml:space="preserve"> reduced routine query load, freeing staff for complex cases.</w:t>
      </w:r>
    </w:p>
    <w:p>
      <w:pPr>
        <w:pStyle w:val="ListParagraph"/>
        <w:numPr>
          <w:ilvl w:val="0"/>
          <w:numId w:val="2"/>
        </w:numPr>
        <w:spacing w:after="60"/>
      </w:pPr>
      <w:r>
        <w:rPr>
          <w:b/>
          <w:bCs/>
          <w:sz w:val="20"/>
          <w:szCs w:val="20"/>
        </w:rPr>
        <w:t xml:space="preserve">For the cooperative system:</w:t>
      </w:r>
      <w:r>
        <w:rPr>
          <w:sz w:val="20"/>
          <w:szCs w:val="20"/>
        </w:rPr>
        <w:t xml:space="preserve"> consistent, accurate, centrally-updated information delivery across every branch, reducing misinformation and processing errors.</w:t>
      </w:r>
    </w:p>
    <w:p>
      <w:pPr>
        <w:pStyle w:val="ListParagraph"/>
        <w:numPr>
          <w:ilvl w:val="0"/>
          <w:numId w:val="2"/>
        </w:numPr>
        <w:spacing w:after="60"/>
      </w:pPr>
      <w:r>
        <w:rPr>
          <w:b/>
          <w:bCs/>
          <w:sz w:val="20"/>
          <w:szCs w:val="20"/>
        </w:rPr>
        <w:t xml:space="preserve">For policy reach:</w:t>
      </w:r>
      <w:r>
        <w:rPr>
          <w:sz w:val="20"/>
          <w:szCs w:val="20"/>
        </w:rPr>
        <w:t xml:space="preserve"> improves last-mile access to government schemes in regions where digital and language barriers currently exclude eligible members.</w:t>
      </w:r>
    </w:p>
    <w:p>
      <w:pPr>
        <w:pStyle w:val="Heading1"/>
        <w:spacing w:after="120" w:before="280"/>
      </w:pPr>
      <w:r>
        <w:rPr>
          <w:b/>
          <w:bCs/>
          <w:color w:val="1A3C34"/>
          <w:sz w:val="26"/>
          <w:szCs w:val="26"/>
        </w:rPr>
        <w:t xml:space="preserve">7. Scalability &amp; Future Scope</w:t>
      </w:r>
    </w:p>
    <w:p>
      <w:pPr>
        <w:pStyle w:val="ListParagraph"/>
        <w:numPr>
          <w:ilvl w:val="0"/>
          <w:numId w:val="2"/>
        </w:numPr>
        <w:spacing w:after="60"/>
      </w:pPr>
      <w:r>
        <w:rPr>
          <w:sz w:val="20"/>
          <w:szCs w:val="20"/>
        </w:rPr>
        <w:t xml:space="preserve">Deployable across all PACS branches nationally at low per-unit hardware cost.</w:t>
      </w:r>
    </w:p>
    <w:p>
      <w:pPr>
        <w:pStyle w:val="ListParagraph"/>
        <w:numPr>
          <w:ilvl w:val="0"/>
          <w:numId w:val="2"/>
        </w:numPr>
        <w:spacing w:after="60"/>
      </w:pPr>
      <w:r>
        <w:rPr>
          <w:sz w:val="20"/>
          <w:szCs w:val="20"/>
        </w:rPr>
        <w:t xml:space="preserve">Future scope: remote access via SMS/missed-call for members who can't visit a kiosk; expansion to other cooperative services beyond KCC/PACS bylaws.</w:t>
      </w:r>
    </w:p>
    <w:p>
      <w:pPr>
        <w:pStyle w:val="ListParagraph"/>
        <w:numPr>
          <w:ilvl w:val="0"/>
          <w:numId w:val="2"/>
        </w:numPr>
        <w:spacing w:after="60"/>
      </w:pPr>
      <w:r>
        <w:rPr>
          <w:sz w:val="20"/>
          <w:szCs w:val="20"/>
        </w:rPr>
        <w:t xml:space="preserve">Roadmap: move from API-based LLM (demo stage) to fully local on-device inference for complete offline independence.</w:t>
      </w:r>
    </w:p>
    <w:p>
      <w:pPr>
        <w:pBdr>
          <w:top w:val="single" w:color="E0A030" w:sz="2"/>
          <w:bottom w:val="single" w:color="E0A030" w:sz="2"/>
          <w:left w:val="single" w:color="E0A030" w:sz="2"/>
          <w:right w:val="single" w:color="E0A030" w:sz="2"/>
        </w:pBdr>
        <w:shd w:fill="FFF3E0" w:val="clear"/>
        <w:spacing w:after="200" w:before="200"/>
      </w:pPr>
      <w:r>
        <w:rPr>
          <w:sz w:val="20"/>
          <w:szCs w:val="20"/>
        </w:rPr>
        <w:t xml:space="preserve">Open item: Section 5 and 6's claims are stronger with a real efficiency number — "manual process takes X days, SAHAKAR AI resolves it in Y minutes." Fill this in from your NABARD visit or team research before final submission.</w:t>
      </w:r>
    </w:p>
    <w:p>
      <w:pPr>
        <w:spacing w:before="200"/>
      </w:pPr>
      <w:r>
        <w:rPr>
          <w:color w:val="666666"/>
          <w:sz w:val="16"/>
          <w:szCs w:val="16"/>
        </w:rPr>
        <w:t xml:space="preserve">Prepared by Team Mitras for SIH 2026 internal round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2026-09-21T08:33:32.548Z</dcterms:created>
  <dcterms:modified xsi:type="dcterms:W3CDTF">2026-09-21T08:33:32.556Z</dcterms:modified>
</cp:coreProperties>
</file>

<file path=docProps/custom.xml><?xml version="1.0" encoding="utf-8"?>
<Properties xmlns="http://schemas.openxmlformats.org/officeDocument/2006/custom-properties" xmlns:vt="http://schemas.openxmlformats.org/officeDocument/2006/docPropsVTypes"/>
</file>