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ДОГОВОР № 04-05/2026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на разработку программного обеспечения, внедрение и оказание сопутствующих услуг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г. Москва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«04» мая 2026 г.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Индивидуальный предприниматель Иванов Евгений Владимирович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(ИНН 911002153904, ОГРНИП 325911200092110), именуемый в дальнейшем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«Исполнитель»</w:t>
      </w:r>
      <w:r>
        <w:rPr>
          <w:rFonts w:ascii="SF Text" w:hAnsi="SF Text" w:cs="SF Text" w:eastAsia="SF Text"/>
          <w:color w:val="000000"/>
        </w:rPr>
        <w:t xml:space="preserve">, с одной стороны,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и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Общество с ограниченной ответственностью «ЭТНО-ДЕРЕВНЯ»</w:t>
      </w:r>
      <w:r>
        <w:rPr>
          <w:rFonts w:ascii="SF Text" w:hAnsi="SF Text" w:cs="SF Text" w:eastAsia="SF Text"/>
          <w:color w:val="000000"/>
        </w:rPr>
        <w:t xml:space="preserve">,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ИНН 4003016479, ОГРН 1054002536565, КПП 400301001,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юридический адрес: 249018, Калужская область, Боровский район, д. Петрово, ТВП-7, помещение-4,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лице управляющего — индивидуального предпринимателя Черновой Светланы Александровны (ИП Чернова С. А.),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действующего на основании договора о передаче полномочий единоличного исполнительного органа Общества с ограниченной ответственностью «ЭТНО-ДЕРЕВНЯ» Управляющему № 01/24/ЭД/ПП от «29» августа 2024 года,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именуемое в дальнейшем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«Заказчик»</w:t>
      </w:r>
      <w:r>
        <w:rPr>
          <w:rFonts w:ascii="SF Text" w:hAnsi="SF Text" w:cs="SF Text" w:eastAsia="SF Text"/>
          <w:color w:val="000000"/>
        </w:rPr>
        <w:t xml:space="preserve">, с другой стороны,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вместе именуемые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«Стороны»</w:t>
      </w:r>
      <w:r>
        <w:rPr>
          <w:rFonts w:ascii="SF Text" w:hAnsi="SF Text" w:cs="SF Text" w:eastAsia="SF Text"/>
          <w:color w:val="000000"/>
        </w:rPr>
        <w:t xml:space="preserve">, а каждая в отдельности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«Сторона»</w:t>
      </w:r>
      <w:r>
        <w:rPr>
          <w:rFonts w:ascii="SF Text" w:hAnsi="SF Text" w:cs="SF Text" w:eastAsia="SF Text"/>
          <w:color w:val="000000"/>
        </w:rPr>
        <w:t xml:space="preserve">, заключили настоящий Договор (далее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«Договор»</w:t>
      </w:r>
      <w:r>
        <w:rPr>
          <w:rFonts w:ascii="SF Text" w:hAnsi="SF Text" w:cs="SF Text" w:eastAsia="SF Text"/>
          <w:color w:val="000000"/>
        </w:rPr>
        <w:t xml:space="preserve">) о нижеследующем.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1. ТЕРМИНЫ И ОПРЕДЕЛЕНИЯ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В настоящем Договоре термины используются в следующих значениях.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1.1. Программное обеспечение / ПО / Приложение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суперприложение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ethnomir.app</w:t>
      </w:r>
      <w:r>
        <w:rPr>
          <w:rFonts w:ascii="SF Text" w:hAnsi="SF Text" w:cs="SF Text" w:eastAsia="SF Text"/>
          <w:color w:val="000000"/>
        </w:rPr>
        <w:t xml:space="preserve">, разрабатываемое Исполнителем по настоящему Договору: мобильное клиентское приложение для iOS и Android, веб-версия (PWA), панель управления (CRM), серверный контур, база данных, включая все связанные программные компоненты, графические материалы, тексты, дизайн-систему и техническую документацию.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1.2. Техническое задание / ТЗ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Приложение № 1 к настоящему Договору, содержащее полный перечень функций, экранов, модулей и технических требований, которым должно соответствовать ПО и сопутствующие результаты работ.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1.3. Работы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комплекс работ по разработке, настройке, внедрению и сдаче ПО и иных результатов, перечисленных в разделе 2 и в ТЗ.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1.4. Этап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выделенная часть Работ с самостоятельным результатом и закрывающим его актом сдачи-приёмки. Этапы определены в разделе 4 и в Приложении № 2 (Календарный план).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1.5. Акт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акт сдачи-приёмки оказанных услуг / выполненных работ по этапу. Форма акта — Приложение № 3.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1.6. Результат интеллектуальной деятельности / РИД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совокупность создаваемых Исполнителем объектов: исходный код ПО, база данных (структура и схемы), Edge Functions, скрипты миграций, дизайн-макеты, дизайн-система, графические материалы, тексты, техническая документация, инструкции, создаваемый контент лендингов.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1.7. App Store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магазин мобильных приложений Apple Inc.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1.8. Google Play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магазин мобильных приложений Google LLC.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1.9. Учётные записи (аккаунты) разработчика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учётная запись Apple Developer Program и учётная запись Google Play Console, необходимые для публикации ПО в магазинах. Регистрируются и оплачиваются Заказчиком на юридическое лицо ООО «ЭТНО-ДЕРЕВНЯ».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1.10. Пилотная версия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версия ПО, опубликованная в App Store, Google Play и сети Интернет, открытая для использования реальными гостями Этномира.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1.11. Критичный дефект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недостаток ПО, при наличии которого использование ПО по основному назначению невозможно (приложение не запускается, невозможен вход по OTP, невозможна оплата, отображаются чужие персональные данные, потеря или искажение данных Заказчика).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1.12. Некритичный дефект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любой иной недостаток, не препятствующий использованию ПО по основному назначению, но не соответствующий требованиям ТЗ.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1.13. Доработка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изменение или расширение функционала, выходящее за пределы ТЗ. Не является дефектом и устраняется (или нет) по дополнительному соглашению.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2. ПРЕДМЕТ ДОГОВОРА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2.1.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обязуется выполнить в порядке и в сроки, установленные настоящим Договором, комплекс Работ по следующим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четырём блокам</w:t>
      </w:r>
      <w:r>
        <w:rPr>
          <w:rFonts w:ascii="SF Text" w:hAnsi="SF Text" w:cs="SF Text" w:eastAsia="SF Text"/>
          <w:color w:val="000000"/>
        </w:rPr>
        <w:t xml:space="preserve">: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Блок 1. Мега-приложение Этномир.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Разработка, настройка и передача Заказчику суперприложения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ethnomir.app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для клиентов, партнёров и персонала: клиентский контур (iOS / Android / веб-PWA), режим «Владелец» (CRM), серверный контур, база данных, безопасность и compliance. Приложение функционально замещает в едином контуре несколько классов отдельных систем, традиционно используемых парком такого масштаба: систему управления отелем (PMS), кассовую систему ресторанов (POS), CRM, маркетплейс услуг, админ-панели контента и инвестиционной недвижимости. Полный перечень функций, экранов и технических требований — в Приложении № 1 (ТЗ), разделы 2–10. Публикация в App Store, Google Play, запуск в вебе на доменах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ethnomir.app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ethnomir.ru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(соответствующая часть).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Блок 2. Ре-упаковка сайта ethnomir.ru.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Разработка четырёх групп промо-лендингов под четыре целевые аудитории: «Парк», «Гостиницы», «Застройщик», «Партнёры», каждый со своим CTA, ведущим в Приложение. Полный перечень — Приложение № 1, раздел 11.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Блок 3. Ре-брендинг Этномира.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Аккуратная доработка знака, логотипа, позиционирования и слогана бренда «Этномир» в ключе 2026 года; доработка — эволюционная, сохраняющая ДНК бренда. Перечень осязаемых результатов — Приложение № 1, раздел 12.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Блок 4. Продуктовая линейка.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Систематизация туристической продуктовой линейки Этномира по принципам «понятность — непрерывность — увеличение»: описание ценного конечного продукта (ЦКП), карта продуктов, сценарии потребления, правила продаж внутри Приложения. Перечень осязаемых результатов — Приложение № 1, раздел 13.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2.2.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Заказчик обязуется принять результаты Работ в порядке, установленном Договором, и оплатить их в согласованные сроки.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2.3.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Подробное описание функционала, состав экранов, технологический стек, требования к архитектуре, безопасности, дизайну, производительности, интеграциям и критерии приёмки приведены 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Приложении № 1 (Техническое задание)</w:t>
      </w:r>
      <w:r>
        <w:rPr>
          <w:rFonts w:ascii="SF Text" w:hAnsi="SF Text" w:cs="SF Text" w:eastAsia="SF Text"/>
          <w:color w:val="000000"/>
        </w:rPr>
        <w:t xml:space="preserve">, которое является неотъемлемой частью настоящего Договора.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2.4.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Работы выполняются с использованием специалистов и инфраструктуры, привлечённых Исполнителем самостоятельно. Исполнитель несёт ответственность за действия привлечённых им третьих лиц как за свои собственные.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3. СТОИМОСТЬ РАБОТ И ПОРЯДОК ОПЛАТЫ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3.1.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Общая стоимость Работ по настоящему Договору составляет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22 000 000 (двадцать два миллиона) рублей 00 копеек</w:t>
      </w:r>
      <w:r>
        <w:rPr>
          <w:rFonts w:ascii="SF Text" w:hAnsi="SF Text" w:cs="SF Text" w:eastAsia="SF Text"/>
          <w:color w:val="000000"/>
        </w:rPr>
        <w:t xml:space="preserve">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НДС не облагается в связи с применением Исполнителем специального налогового режима.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Стоимость Работ является фиксированной и покрывает выполнение полного объёма Работ в соответствии с ТЗ. Объём работ, выходящий за рамки ТЗ, оплачивается по отдельному дополнительному соглашению.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Оплата производится Заказчиком в три этапа в следующем порядке.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294"/>
        <w:gridCol w:w="2502"/>
        <w:gridCol w:w="1055"/>
        <w:gridCol w:w="1821"/>
        <w:gridCol w:w="2528"/>
      </w:tblGrid>
      <w:tr>
        <w:trPr>
          <w:tblHeader w:val="true"/>
        </w:trPr>
        <w:tc>
          <w:tcPr>
            <w:tcW w:type="dxa" w:w="129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№ этапа</w:t>
            </w:r>
          </w:p>
        </w:tc>
        <w:tc>
          <w:tcPr>
            <w:tcW w:type="dxa" w:w="250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Событие</w:t>
            </w:r>
          </w:p>
        </w:tc>
        <w:tc>
          <w:tcPr>
            <w:tcW w:type="dxa" w:w="105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Доля</w:t>
            </w:r>
          </w:p>
        </w:tc>
        <w:tc>
          <w:tcPr>
            <w:tcW w:type="dxa" w:w="18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Сумма, ₽</w:t>
            </w:r>
          </w:p>
        </w:tc>
        <w:tc>
          <w:tcPr>
            <w:tcW w:type="dxa" w:w="25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Срок оплаты</w:t>
            </w:r>
          </w:p>
        </w:tc>
      </w:tr>
      <w:tr>
        <w:tc>
          <w:tcPr>
            <w:tcW w:type="dxa" w:w="1294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1</w:t>
            </w:r>
          </w:p>
        </w:tc>
        <w:tc>
          <w:tcPr>
            <w:tcW w:type="dxa" w:w="250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Подписание Договора сторонами</w:t>
            </w:r>
          </w:p>
        </w:tc>
        <w:tc>
          <w:tcPr>
            <w:tcW w:type="dxa" w:w="105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50 %</w:t>
            </w:r>
          </w:p>
        </w:tc>
        <w:tc>
          <w:tcPr>
            <w:tcW w:type="dxa" w:w="18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11 000 000</w:t>
            </w:r>
          </w:p>
        </w:tc>
        <w:tc>
          <w:tcPr>
            <w:tcW w:type="dxa" w:w="25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течение 10 (десяти) банковских дней с даты подписания Договора</w:t>
            </w:r>
          </w:p>
        </w:tc>
      </w:tr>
      <w:tr>
        <w:tc>
          <w:tcPr>
            <w:tcW w:type="dxa" w:w="1294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2</w:t>
            </w:r>
          </w:p>
        </w:tc>
        <w:tc>
          <w:tcPr>
            <w:tcW w:type="dxa" w:w="250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Подписание Сторонами Акта сдачи-приёмки по Этапу 2 (внедрение)</w:t>
            </w:r>
          </w:p>
        </w:tc>
        <w:tc>
          <w:tcPr>
            <w:tcW w:type="dxa" w:w="105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25 %</w:t>
            </w:r>
          </w:p>
        </w:tc>
        <w:tc>
          <w:tcPr>
            <w:tcW w:type="dxa" w:w="18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5 500 000</w:t>
            </w:r>
          </w:p>
        </w:tc>
        <w:tc>
          <w:tcPr>
            <w:tcW w:type="dxa" w:w="25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течение 10 (десяти) банковских дней с даты подписания Акта по Этапу 2</w:t>
            </w:r>
          </w:p>
        </w:tc>
      </w:tr>
      <w:tr>
        <w:tc>
          <w:tcPr>
            <w:tcW w:type="dxa" w:w="1294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3</w:t>
            </w:r>
          </w:p>
        </w:tc>
        <w:tc>
          <w:tcPr>
            <w:tcW w:type="dxa" w:w="250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Подписание Сторонами Акта сдачи-приёмки по Этапу 3 (пилотная версия)</w:t>
            </w:r>
          </w:p>
        </w:tc>
        <w:tc>
          <w:tcPr>
            <w:tcW w:type="dxa" w:w="105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25 %</w:t>
            </w:r>
          </w:p>
        </w:tc>
        <w:tc>
          <w:tcPr>
            <w:tcW w:type="dxa" w:w="18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5 500 000</w:t>
            </w:r>
          </w:p>
        </w:tc>
        <w:tc>
          <w:tcPr>
            <w:tcW w:type="dxa" w:w="25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течение 10 (десяти) банковских дней с даты подписания Акта по Этапу 3</w:t>
            </w:r>
          </w:p>
        </w:tc>
      </w:tr>
      <w:tr>
        <w:tc>
          <w:tcPr>
            <w:tcW w:type="dxa" w:w="1294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4</w:t>
            </w:r>
          </w:p>
        </w:tc>
        <w:tc>
          <w:tcPr>
            <w:tcW w:type="dxa" w:w="250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Сопровождение (3 мес.)</w:t>
            </w:r>
          </w:p>
        </w:tc>
        <w:tc>
          <w:tcPr>
            <w:tcW w:type="dxa" w:w="105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0 %</w:t>
            </w:r>
          </w:p>
        </w:tc>
        <w:tc>
          <w:tcPr>
            <w:tcW w:type="dxa" w:w="18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включено в стоимость</w:t>
            </w:r>
          </w:p>
        </w:tc>
        <w:tc>
          <w:tcPr>
            <w:tcW w:type="dxa" w:w="25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дополнительной оплате не подлежит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Указанные доли отражают проектные вехи и моменты закрытия этапов, а не пропорциональную сложность работ внутри этапов.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Оплата производится в безналичной форме путём перечисления денежных средств на расчётный счёт Исполнителя, указанный в разделе 17 настоящего Договора. Датой оплаты считается дата зачисления денежных средств на расчётный счёт Исполнителя.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стоимость Работ по настоящему Договору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не включены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следующие третьесторонние расходы, оплачиваемые Заказчиком самостоятельно и напрямую:</w:t>
      </w:r>
    </w:p>
    <w:p>
      <w:pPr>
        <w:numPr>
          <w:ilvl w:val="0"/>
          <w:numId w:val="100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ежегодные взносы в Apple Developer Program и Google Play Console;</w:t>
      </w:r>
    </w:p>
    <w:p>
      <w:pPr>
        <w:numPr>
          <w:ilvl w:val="0"/>
          <w:numId w:val="100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плата за облачный хостинг клиентского и серверного контура (например, edge-платформа для фронтенда и управляемый сервис PostgreSQL);</w:t>
      </w:r>
    </w:p>
    <w:p>
      <w:pPr>
        <w:numPr>
          <w:ilvl w:val="0"/>
          <w:numId w:val="100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плата за сервисы SMS-отправки (OTP-коды) и push-уведомлений;</w:t>
      </w:r>
    </w:p>
    <w:p>
      <w:pPr>
        <w:numPr>
          <w:ilvl w:val="0"/>
          <w:numId w:val="100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комиссии платёжных сервисов и банков;</w:t>
      </w:r>
    </w:p>
    <w:p>
      <w:pPr>
        <w:numPr>
          <w:ilvl w:val="0"/>
          <w:numId w:val="100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доменные имена;</w:t>
      </w:r>
    </w:p>
    <w:p>
      <w:pPr>
        <w:numPr>
          <w:ilvl w:val="0"/>
          <w:numId w:val="100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расходы на командировки Исполнителя на территорию парка «Этномир» в рамках Этапа 2 (проезд, проживание) — возмещаются Заказчиком по факту и по согласованию.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Ежемесячные инфраструктурные расходы после запуска зависят от нагрузки и фиксируются поставщиками услуг; Исполнитель не несёт ответственности за их размер.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3.7.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Цена Договора не индексируется в течение срока выполнения Работ.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4. СРОКИ ВЫПОЛНЕНИЯ РАБОТ. ЭТАПЫ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4.1.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Общий срок выполнения Работ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ориентировочно 9 (девять) календарных месяцев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 даты подписания Договора (далее — «Дата старта»), включая 3 (три) месяца бесплатного сопровождения.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Работы выполняются в следующие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четыре этапа</w:t>
      </w:r>
      <w:r>
        <w:rPr>
          <w:rFonts w:ascii="SF Text" w:hAnsi="SF Text" w:cs="SF Text" w:eastAsia="SF Text"/>
          <w:color w:val="000000"/>
        </w:rPr>
        <w:t xml:space="preserve">. Подробный календарный план — Приложение № 2.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Этап 1. Развитие и новые функции</w:t>
      </w:r>
    </w:p>
    <w:p>
      <w:pPr>
        <w:numPr>
          <w:ilvl w:val="0"/>
          <w:numId w:val="100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Срок: до 5 (пяти) месяцев с Даты старта.</w:t>
      </w:r>
    </w:p>
    <w:p>
      <w:pPr>
        <w:numPr>
          <w:ilvl w:val="0"/>
          <w:numId w:val="100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Доля: 50 % (11 000 000 ₽).</w:t>
      </w:r>
    </w:p>
    <w:p>
      <w:pPr>
        <w:numPr>
          <w:ilvl w:val="0"/>
          <w:numId w:val="100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Объём Работ этапа: доработка клиентского контура и режима «Владелец» (CRM), проектирование и реализация новых функций и контекстных сценариев, расширение контента, повышение безопасности, подготовка к публикации в магазинах приложений, поддержание продукта в рабочем состоянии на production-инфраструктуре.</w:t>
      </w:r>
    </w:p>
    <w:p>
      <w:pPr>
        <w:numPr>
          <w:ilvl w:val="0"/>
          <w:numId w:val="100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Результат этапа: код продукта в согласованном хранилище с реализованными функциями по ТЗ в соответствующей части; промежуточный отчёт Исполнителя.</w:t>
      </w:r>
    </w:p>
    <w:p>
      <w:pPr>
        <w:numPr>
          <w:ilvl w:val="0"/>
          <w:numId w:val="100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Отдельный Акт по Этапу 1 не составляется; выполнение Этапа 1 фиксируется фактом подписания Акта по Этапу 2.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Этап 2. Внедрение в Этномире</w:t>
      </w:r>
    </w:p>
    <w:p>
      <w:pPr>
        <w:numPr>
          <w:ilvl w:val="0"/>
          <w:numId w:val="100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Срок: до 4 (четырёх) недель по окончании Этапа 1.</w:t>
      </w:r>
    </w:p>
    <w:p>
      <w:pPr>
        <w:numPr>
          <w:ilvl w:val="0"/>
          <w:numId w:val="100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Доля: 25 % (5 500 000 ₽).</w:t>
      </w:r>
    </w:p>
    <w:p>
      <w:pPr>
        <w:numPr>
          <w:ilvl w:val="0"/>
          <w:numId w:val="100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Объём Работ этапа: физическое присутствие представителя Исполнителя на территории парка «Этномир», настройка CRM и учётных записей сотрудников Заказчика, обучение персонала работе с CRM, согласование и загрузка актуального контента (отели, рестораны, туры, события, фото).</w:t>
      </w:r>
    </w:p>
    <w:p>
      <w:pPr>
        <w:numPr>
          <w:ilvl w:val="0"/>
          <w:numId w:val="100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Результат этапа: CRM запущена в рабочем режиме на территории парка; сотрудники Заказчика обучены; настройки задокументированы.</w:t>
      </w:r>
    </w:p>
    <w:p>
      <w:pPr>
        <w:numPr>
          <w:ilvl w:val="0"/>
          <w:numId w:val="100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Закрытие этапа: подписание Сторонами Акта сдачи-приёмки по Этапу 2.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Этап 3. Пилотная версия (запуск)</w:t>
      </w:r>
    </w:p>
    <w:p>
      <w:pPr>
        <w:numPr>
          <w:ilvl w:val="0"/>
          <w:numId w:val="100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Срок: до 2 (двух) недель по окончании Этапа 2.</w:t>
      </w:r>
    </w:p>
    <w:p>
      <w:pPr>
        <w:numPr>
          <w:ilvl w:val="0"/>
          <w:numId w:val="100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Доля: 25 % (5 500 000 ₽).</w:t>
      </w:r>
    </w:p>
    <w:p>
      <w:pPr>
        <w:numPr>
          <w:ilvl w:val="0"/>
          <w:numId w:val="100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Объём Работ этапа: публикация мобильного приложения в App Store и Google Play, запуск веб-версии и обновлённой версии ethnomir.ru в боевом режиме, мониторинг запуска, передача учётных записей, ключей доступа и документации Заказчику.</w:t>
      </w:r>
    </w:p>
    <w:p>
      <w:pPr>
        <w:numPr>
          <w:ilvl w:val="0"/>
          <w:numId w:val="100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Результат этапа: ПО доступно реальным гостям в магазинах приложений и в вебе; продукт работает в боевом режиме.</w:t>
      </w:r>
    </w:p>
    <w:p>
      <w:pPr>
        <w:numPr>
          <w:ilvl w:val="0"/>
          <w:numId w:val="100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Закрытие этапа: подписание Сторонами Акта сдачи-приёмки по Этапу 3.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Этап 4. Бесплатное сопровождение</w:t>
      </w:r>
    </w:p>
    <w:p>
      <w:pPr>
        <w:numPr>
          <w:ilvl w:val="0"/>
          <w:numId w:val="100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Срок: 3 (три) месяца с даты подписания Акта по Этапу 3.</w:t>
      </w:r>
    </w:p>
    <w:p>
      <w:pPr>
        <w:numPr>
          <w:ilvl w:val="0"/>
          <w:numId w:val="100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Доля: 0 % (включено в стоимость Договора).</w:t>
      </w:r>
    </w:p>
    <w:p>
      <w:pPr>
        <w:numPr>
          <w:ilvl w:val="0"/>
          <w:numId w:val="100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Объём Работ этапа: устранение дефектов, выявленных в процессе эксплуатации (раздел 10), доработки по обратной связи от пользователей (в рамках ТЗ), поддержание работоспособности инфраструктуры, регулярные итерации с Заказчиком.</w:t>
      </w:r>
    </w:p>
    <w:p>
      <w:pPr>
        <w:numPr>
          <w:ilvl w:val="0"/>
          <w:numId w:val="100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Результат этапа: стабильно работающий продукт на протяжении 3 месяцев после запуска с актуальной документацией.</w:t>
      </w:r>
    </w:p>
    <w:p>
      <w:pPr>
        <w:numPr>
          <w:ilvl w:val="0"/>
          <w:numId w:val="100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Закрытие этапа: подписание итогового Акта по Этапу 4 (при отсутствии возражений — по истечении срока без отдельной процедуры).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4.3.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Сроки Этапа 2 и Этапа 3 могут быть сдвинуты по письменному согласованию Сторон — например, для приурочивания запуска пилотной версии к календарному событию парка (фестиваль, сезон, школьные каникулы). Такой сдвиг оформляется дополнительным соглашением и не считается просрочкой Исполнителя.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Срок начала Этапа 1 — день, следующий за днём поступления первого платежа (аванса) по п. 3.4 на расчётный счёт Исполнителя. До поступления аванса Исполнитель вправе не приступать к Работам без последствий по срокам.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5. ПОРЯДОК СДАЧИ-ПРИЁМКИ РАБОТ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5.1.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 завершении Этапа 2 и Этапа 3 Исполнитель уведомляет Заказчика о готовности результата к приёмке — в электронной форме (e-mail, мессенджер) со ссылкой на развёрнутое рабочее окружение и краткое описание выполненного — и направляет Акт сдачи-приёмки по форме Приложения № 3.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Заказчик рассматривает результат в разумный срок и либо подписывает Акт, либо направляет замечания в рабочем порядке (по e-mail или мессенджеру). Формализованного мотивированного отказа не требуется — замечания могут быть высказаны в любой удобной форме.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устраняет обоснованные замечания по согласованию с Заказчиком в разумный срок. Объём замечаний, выходящий за пределы ТЗ, является доработками и реализуется по отдельной договорённости Сторон. Стороны стремятся урегулировать спорные моменты путём оперативных переговоров без формального противостояния.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Подписание Акта означает подтверждение соответствия результата ТЗ в соответствующей части, отсутствие претензий к качеству и срокам по этому Этапу и переход прав на соответствующую часть РИД к Заказчику (раздел 9).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Если Стороны на протяжении 30 (тридцати) календарных дней с момента уведомления не могут прийти к согласию о приёмке при отсутствии существенных недочётов, Этап считается принятым. Существенные недочёты — те, которые делают использование результата по прямому назначению невозможным; остальные замечания не являются препятствием к подписанию Акта и устраняются в последующем в рабочем порядке.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Допускается подписание Актов через системы электронного документооборота (ЭДО) с использованием квалифицированной электронной подписи, а также путём обмена сканированными копиями по e-mail с последующей передачей оригиналов; скан-копии имеют юридическую силу до обмена оригиналами.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6. ПРАВА И ОБЯЗАННОСТИ СТОРОН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6.1. Обязанности Исполнителя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Исполнитель обязуется: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выполнить Работы в сроки и в объёме, установленные Договором и Приложением № 1 (ТЗ);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обеспечить привлечение квалифицированных специалистов (команда управляющих партнёров и привлекаемых инженеров-консультантов), достаточных для своевременного и качественного выполнения Работ;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передавать результаты Этапов в согласованном формате, подписывать акты и иные документы;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информировать Заказчика о ходе выполнения Работ не реже одного раза в 2 недели в течение Этапа 1 и еженедельно в течение Этапов 2–4 (статус, риски, открытые вопросы, планы);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передать Заказчику по окончании Этапа 3 все учётные записи, ключи доступа и секреты, необходимые для самостоятельной эксплуатации ПО (доступ к Git-репозиторию с исходным кодом, базе данных, облачной инфраструктуре, аккаунтам магазинов приложений, доменам, сервисам интеграции — либо путём передачи существующих учётных записей, либо путём создания новых на юр. лицо Заказчика);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соблюдать режим конфиденциальности (раздел 11);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6.1.7.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не передавать права на РИД третьим лицам до полной оплаты и подписания всех Актов;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6.1.8.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после передачи РИД Заказчику — сохранить у себя бэкапы исходных материалов в течение 12 месяцев для возможности оперативной поддержки.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6.2. Обязанности Заказчика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Заказчик обязуется: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своевременно оплачивать Работы в соответствии с разделом 3;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обеспечить предоставление Исполнителю исходных материалов, необходимых для выполнения Работ, в разумные сроки, в том числе:</w:t>
      </w:r>
    </w:p>
    <w:p>
      <w:pPr>
        <w:numPr>
          <w:ilvl w:val="0"/>
          <w:numId w:val="100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фото и видеоматериалы парка, отелей, ресторанов, мастер-классов, событий;</w:t>
      </w:r>
    </w:p>
    <w:p>
      <w:pPr>
        <w:numPr>
          <w:ilvl w:val="0"/>
          <w:numId w:val="100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тексты описаний объектов (отели, рестораны, туры);</w:t>
      </w:r>
    </w:p>
    <w:p>
      <w:pPr>
        <w:numPr>
          <w:ilvl w:val="0"/>
          <w:numId w:val="100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логотипы и графические элементы бренда в векторных форматах;</w:t>
      </w:r>
    </w:p>
    <w:p>
      <w:pPr>
        <w:numPr>
          <w:ilvl w:val="0"/>
          <w:numId w:val="100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данные о ценах, расписаниях, ассортименте, персонале;</w:t>
      </w:r>
    </w:p>
    <w:p>
      <w:pPr>
        <w:numPr>
          <w:ilvl w:val="0"/>
          <w:numId w:val="100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контакты ответственных лиц с каждой стороны (отели, рестораны, партнёры);</w:t>
      </w:r>
    </w:p>
    <w:p>
      <w:pPr>
        <w:numPr>
          <w:ilvl w:val="0"/>
          <w:numId w:val="100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корпоративную информацию (реквизиты, юридические документы, договоры с партнёрами при необходимости);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6.2.3.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назначить единого ответственного представителя (Project Owner со стороны Заказчика) для оперативного согласования промежуточных результатов и предоставления обратной связи;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оперативно рассматривать вопросы, блокирующие работу Исполнителя (по умолчанию — в течение 3 рабочих дней);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зарегистрировать на ООО «ЭТНО-ДЕРЕВНЯ» учётные записи Apple Developer Program и Google Play Console до момента публикации в магазинах (Этап 3) и оплачивать их ежегодные взносы;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обеспечить участие персонала парка в тренингах Этапа 2 (не менее 80 % штата, работающего с CRM);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6.2.7.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соблюдать режим конфиденциальности (раздел 11).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6.3. Права Исполнителя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Исполнитель вправе: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6.3.1.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привлекать для выполнения отдельных Работ третьих лиц (инженеров-консультантов, дизайнеров, специалистов) с сохранением полной ответственности за результат перед Заказчиком;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6.3.2.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приостановить выполнение Работ при просрочке оплаты Заказчиком более чем на 10 (десять) рабочих дней, письменно уведомив Заказчика; срок приостановки продлевает срок соответствующего Этапа на аналогичный период;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6.3.3.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размещать в своём портфолио и публичных материалах обезличенное описание выполненных Работ с указанием проекта «Этномир» (скриншоты интерфейсов, архитектурные решения, общий кейс) — при условии, что размещаемые материалы не содержат персональных данных гостей парка, финансовой информации Заказчика и иной конфиденциальной информации;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6.3.4.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использовать разработанные в рамках Договора архитектурные решения, общие подходы к дизайну, методологические разработки и нестандартные технические решения в своих других проектах, при условии, что такое использование не воспроизводит фирменный стиль «Этномир» и не копирует уникальный контент проекта.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6.4. Права Заказчика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Заказчик вправе: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6.4.1.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получать полную информацию о ходе оказания Работ в любой момент;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6.4.2.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запрашивать разъяснения и обоснованные корректировки по промежуточным материалам в разумные сроки;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6.4.3.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после полной оплаты и подписания Актов по всем Этапам — использовать результат Работ по своему усмотрению, включая воспроизведение, распространение, модификацию, сублицензирование и передачу третьим лицам (в пределах прав, переданных по разделу 9).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7. ТРЕБОВАНИЯ К РЕЗУЛЬТАТАМ РАБОТ. ТЕХНИЧЕСКОЕ ЗАДАНИЕ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7.1.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Подробные требования к составу, функциональности, дизайну, архитектуре, безопасности и иным характеристикам результатов Работ установлены 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Приложении № 1 (Техническое задание)</w:t>
      </w:r>
      <w:r>
        <w:rPr>
          <w:rFonts w:ascii="SF Text" w:hAnsi="SF Text" w:cs="SF Text" w:eastAsia="SF Text"/>
          <w:color w:val="000000"/>
        </w:rPr>
        <w:t xml:space="preserve">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7.2.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Техническое задание охватывает: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функциональные требования (14 клиентских модулей, 23 модуля CRM, Паспорт путешественника, геймификация, баллы, уведомления, поиск);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22 лендинга внутри «Этномир-хаба» и 4 группы лендингов ethnomir.ru;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технологический стек (современный веб-фреймворк, реляционная СУБД, облачная edge-платформа — подробнее в разделе 7);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дизайн-систему (iOS 26+ Liquid Glass, шрифт SF Pro Display, дизайн-паки, моушн);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архитектуру базы данных (≈ 136 таблиц в 12 бизнес-доменах, RLS-политики, триггеры, материализованные представления, Edge Functions);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требования к безопасности и compliance (152-ФЗ, HMAC-подпись чеков, OTP-авторизация, SSL/TLS, OWASP);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требования к производительности (время загрузки, отклик, масштабирование под сезонные пики нагрузки);</w:t>
      </w:r>
    </w:p>
    <w:p>
      <w:pPr>
        <w:numPr>
          <w:ilvl w:val="0"/>
          <w:numId w:val="100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требования к публикации в App Store и Google Play (соответствие их правилам).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7.3.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Любое изменение ТЗ оформляется письменным дополнительным соглашением. Мелкие корректировки (формулировки подписей, цвета иконок в пределах принятой дизайн-системы, порядок элементов на экране) могут согласовываться в оперативной переписке с фиксацией договорённости в протоколе встречи Сторон.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7.4.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не несёт ответственности за невыполнение пункта ТЗ, если это невыполнение прямо обусловлено:</w:t>
      </w:r>
    </w:p>
    <w:p>
      <w:pPr>
        <w:numPr>
          <w:ilvl w:val="0"/>
          <w:numId w:val="100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непредоставлением Заказчиком контента или данных, необходимых для реализации пункта (при условии предварительного письменного запроса Исполнителя);</w:t>
      </w:r>
    </w:p>
    <w:p>
      <w:pPr>
        <w:numPr>
          <w:ilvl w:val="0"/>
          <w:numId w:val="100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изменением политик App Store или Google Play, делающим реализацию пункта невозможной (в таком случае Стороны согласовывают альтернативный способ реализации или исключают пункт из состава Работ);</w:t>
      </w:r>
    </w:p>
    <w:p>
      <w:pPr>
        <w:numPr>
          <w:ilvl w:val="0"/>
          <w:numId w:val="100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изменением законодательства РФ (аналогично).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8. ГАРАНТИЙНЫЕ ОБЯЗАТЕЛЬСТВА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8.1.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гарантирует, что результат Работ соответствует Техническому заданию и пригоден к использованию по прямому назначению — эксплуатации в составе цифровой инфраструктуры парка «Этномир».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8.2. Гарантийный срок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12 (двенадцать) месяцев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 даты подписания Акта по Этапу 3 (запуск пилотной версии). В течение гарантийного срока Исполнитель безвозмездно устраняет дефекты, обнаруженные Заказчиком и подтверждённые Исполнителем (раздел 10). Первые 3 месяца гарантийного срока являются одновременно Этапом 4 (бесплатное сопровождение).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8.3.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Гарантийные обязательства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не распространяются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на:</w:t>
      </w:r>
    </w:p>
    <w:p>
      <w:pPr>
        <w:numPr>
          <w:ilvl w:val="0"/>
          <w:numId w:val="100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неисправности, вызванные изменениями, внесёнными в ПО Заказчиком или третьими лицами без согласования с Исполнителем;</w:t>
      </w:r>
    </w:p>
    <w:p>
      <w:pPr>
        <w:numPr>
          <w:ilvl w:val="0"/>
          <w:numId w:val="100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неисправности, вызванные сбоями внешних систем (облачные хостинг-платформы, платёжные сервисы, сервисы push, магазины приложений);</w:t>
      </w:r>
    </w:p>
    <w:p>
      <w:pPr>
        <w:numPr>
          <w:ilvl w:val="0"/>
          <w:numId w:val="100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неисправности, вызванные нарушением Заказчиком инструкций по эксплуатации (например, удаление таблиц базы данных без backup);</w:t>
      </w:r>
    </w:p>
    <w:p>
      <w:pPr>
        <w:numPr>
          <w:ilvl w:val="0"/>
          <w:numId w:val="100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запросы на изменение функционала, выходящие за пределы ТЗ (такие запросы — доработки, оформляются дополнительным соглашением);</w:t>
      </w:r>
    </w:p>
    <w:p>
      <w:pPr>
        <w:numPr>
          <w:ilvl w:val="0"/>
          <w:numId w:val="100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падение производительности, вызванное ростом нагрузки сверх показателей, заложенных в ТЗ (масштабирование под многократный рост — отдельные Работы).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9. ИСКЛЮЧИТЕЛЬНЫЕ ПРАВА НА РЕЗУЛЬТАТЫ РАБОТ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9.1.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Стороны признают, что в процессе выполнения Работ создаются Результаты интеллектуальной деятельности (РИД), включая, но не ограничиваясь: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исходный код клиентского приложения (iOS / Android / Web), серверного контура и CRM;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структуру и схему базы данных, скрипты миграций, код Edge Functions, триггеры и хранимые процедуры;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графические материалы (дизайн-макеты, иконки, иллюстрации, фоны, анимации);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дизайн-систему (компоненты, стили, типографику, цветовые палитры);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тексты интерфейсов и лендингов;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техническую и эксплуатационную документацию;</w:t>
      </w:r>
    </w:p>
    <w:p>
      <w:pPr>
        <w:numPr>
          <w:ilvl w:val="0"/>
          <w:numId w:val="101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обновлённые элементы фирменного стиля «Этномир» (в рамках Блока 3 «Ре-брендинг»).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9.2.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Исключительные права на РИД, созданные в рамках выполнения соответствующего Этапа, переходят от Исполнителя к Заказчику в полном объёме (в пределах, предусмотренных статьями 1234, 1285, 1296 ГК РФ)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с момента подписания Акта сдачи-приёмки по этому Этапу и поступления оплаты за этот Этап на счёт Исполнителя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 зависимости от того, какое из событий наступит позднее.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Передача прав включает право использования РИД любыми способами, в том числе:</w:t>
      </w:r>
    </w:p>
    <w:p>
      <w:pPr>
        <w:numPr>
          <w:ilvl w:val="0"/>
          <w:numId w:val="101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воспроизведение, распространение, публичный показ, переработка;</w:t>
      </w:r>
    </w:p>
    <w:p>
      <w:pPr>
        <w:numPr>
          <w:ilvl w:val="0"/>
          <w:numId w:val="101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модификация, доработка, создание производных произведений;</w:t>
      </w:r>
    </w:p>
    <w:p>
      <w:pPr>
        <w:numPr>
          <w:ilvl w:val="0"/>
          <w:numId w:val="101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сублицензирование и передача прав третьим лицам;</w:t>
      </w:r>
    </w:p>
    <w:p>
      <w:pPr>
        <w:numPr>
          <w:ilvl w:val="0"/>
          <w:numId w:val="101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использование РИД в новых продуктах Заказчика (в том числе в рамках франшизы «Этномир» — открытие аналогичных парков в других регионах по модели, описанной в ТЗ, раздел 3.8, модуль М07).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9.4.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Исключительные права передаются Заказчику на всей территории мира на весь срок их действия, предусмотренный законодательством РФ.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До момента перехода прав к Заказчику (п. 9.2) Исполнитель остаётся правообладателем создаваемых РИД. Исполнитель не вправе в течение этого периода передавать права на РИД третьим лицам, за исключением привлечённых подрядчиков в объёме, необходимом для выполнения Договора.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гарантирует, что создаваемые РИД являются результатом его собственной творческой деятельности (и деятельности привлекаемых им подрядчиков), не нарушают прав третьих лиц, и передача прав по настоящему разделу не требует получения дополнительных согласий. В отношении используемых сторонних компонентов (библиотек, шрифтов, иконок) Исполнитель использует только те, которые допустимы по лицензии для использования в коммерческом продукте Заказчика; перечень использованных сторонних компонентов с указанием лицензий передаётся Заказчику в составе документации Этапа 3.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9.7.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сохраняет неимущественное право авторства и право быть указанным в качестве автора / разработчика; для публичного маркетинга Исполнитель вправе использовать факт выполнения Работ для Заказчика в рамках п. 6.3.3 и 6.3.4.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10. УСТРАНЕНИЕ ДЕФЕКТОВ. СРОКИ СОПРОВОЖДЕНИЯ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10.1.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течение Этапа 4 и гарантийного срока Заказчик направляет Исполнителю уведомления о выявленных дефектах через согласованный канал связи (e-mail, мессенджер, система тикетов).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10.2.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реагирует на уведомления в следующие сроки: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928"/>
        <w:gridCol w:w="2957"/>
        <w:gridCol w:w="3315"/>
      </w:tblGrid>
      <w:tr>
        <w:trPr>
          <w:tblHeader w:val="true"/>
        </w:trPr>
        <w:tc>
          <w:tcPr>
            <w:tcW w:type="dxa" w:w="29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Тип обращения</w:t>
            </w:r>
          </w:p>
        </w:tc>
        <w:tc>
          <w:tcPr>
            <w:tcW w:type="dxa" w:w="295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Первичный ответ</w:t>
            </w:r>
          </w:p>
        </w:tc>
        <w:tc>
          <w:tcPr>
            <w:tcW w:type="dxa" w:w="331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Срок устранения</w:t>
            </w:r>
          </w:p>
        </w:tc>
      </w:tr>
      <w:tr>
        <w:tc>
          <w:tcPr>
            <w:tcW w:type="dxa" w:w="29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Критичный дефект (п. 1.11)</w:t>
            </w:r>
          </w:p>
        </w:tc>
        <w:tc>
          <w:tcPr>
            <w:tcW w:type="dxa" w:w="295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течение 24 часов</w:t>
            </w:r>
          </w:p>
        </w:tc>
        <w:tc>
          <w:tcPr>
            <w:tcW w:type="dxa" w:w="331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разумный срок, не более 10 календарных дней</w:t>
            </w:r>
          </w:p>
        </w:tc>
      </w:tr>
      <w:tr>
        <w:tc>
          <w:tcPr>
            <w:tcW w:type="dxa" w:w="29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Некритичный дефект (п. 1.12)</w:t>
            </w:r>
          </w:p>
        </w:tc>
        <w:tc>
          <w:tcPr>
            <w:tcW w:type="dxa" w:w="295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течение 5 календарных дней</w:t>
            </w:r>
          </w:p>
        </w:tc>
        <w:tc>
          <w:tcPr>
            <w:tcW w:type="dxa" w:w="331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разумный срок, не более 50 календарных дней</w:t>
            </w:r>
          </w:p>
        </w:tc>
      </w:tr>
      <w:tr>
        <w:tc>
          <w:tcPr>
            <w:tcW w:type="dxa" w:w="292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Запрос-доработка (п. 1.13)</w:t>
            </w:r>
          </w:p>
        </w:tc>
        <w:tc>
          <w:tcPr>
            <w:tcW w:type="dxa" w:w="295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 течение 10 календарных дней</w:t>
            </w:r>
          </w:p>
        </w:tc>
        <w:tc>
          <w:tcPr>
            <w:tcW w:type="dxa" w:w="331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 отдельному соглашению Сторон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10.3.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вправе привлекать к реагированию свою команду и подрядчиков. Заказчик обеспечивает возможность оперативного подтверждения факта устранения дефекта ответственным лицом.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10.4.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 истечении гарантийного срока Стороны могут заключить отдельный договор на платное сопровождение ПО.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11. КОНФИДЕНЦИАЛЬНОСТЬ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11.1.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Стороны обязуются сохранять конфиденциальность информации, получаемой друг от друга в рамках исполнения настоящего Договора.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Конфиденциальной информацией признаются, в частности:</w:t>
      </w:r>
    </w:p>
    <w:p>
      <w:pPr>
        <w:numPr>
          <w:ilvl w:val="0"/>
          <w:numId w:val="101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персональные данные гостей, партнёров и сотрудников парка;</w:t>
      </w:r>
    </w:p>
    <w:p>
      <w:pPr>
        <w:numPr>
          <w:ilvl w:val="0"/>
          <w:numId w:val="101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финансовая информация Заказчика (обороты, выручка, расходы, данные о бронированиях и оплатах);</w:t>
      </w:r>
    </w:p>
    <w:p>
      <w:pPr>
        <w:numPr>
          <w:ilvl w:val="0"/>
          <w:numId w:val="101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коммерческие условия работы с партнёрами (ставки, комиссии, скидки);</w:t>
      </w:r>
    </w:p>
    <w:p>
      <w:pPr>
        <w:numPr>
          <w:ilvl w:val="0"/>
          <w:numId w:val="101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технические секреты Исполнителя (архитектурные ноу-хау, закрытые скрипты, внутренние протоколы работы команды);</w:t>
      </w:r>
    </w:p>
    <w:p>
      <w:pPr>
        <w:numPr>
          <w:ilvl w:val="0"/>
          <w:numId w:val="101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любая иная информация, прямо обозначенная передающей Стороной как конфиденциальная.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11.3.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Обязательства по конфиденциальности действуют в течение срока исполнения Договора и в течение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5 (пяти) лет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после его прекращения.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Не считается нарушением режима конфиденциальности:</w:t>
      </w:r>
    </w:p>
    <w:p>
      <w:pPr>
        <w:numPr>
          <w:ilvl w:val="0"/>
          <w:numId w:val="101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раскрытие информации по письменному требованию уполномоченных государственных органов (с уведомлением другой Стороны, если это не запрещено);</w:t>
      </w:r>
    </w:p>
    <w:p>
      <w:pPr>
        <w:numPr>
          <w:ilvl w:val="0"/>
          <w:numId w:val="101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раскрытие информации, ставшей общедоступной не по вине Стороны;</w:t>
      </w:r>
    </w:p>
    <w:p>
      <w:pPr>
        <w:numPr>
          <w:ilvl w:val="0"/>
          <w:numId w:val="101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использование Исполнителем обезличенных кейсов и материалов в рамках п. 6.3.3 и 6.3.4.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11.5.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целях соблюдения требований Федерального закона № 152-ФЗ «О персональных данных» при разработке ПО Исполнитель обрабатывает персональные данные гостей только в минимально необходимом объёме для тестирования и отладки, использует обезличенные или тестовые данные там, где это возможно, и удаляет со своих сторонних тестовых окружений персональные данные в течение 30 дней после завершения тестирования.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12. ОТВЕТСТВЕННОСТЬ СТОРОН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12.1.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За неисполнение или ненадлежащее исполнение обязательств по Договору Стороны несут ответственность в соответствии с законодательством Российской Федерации и условиями настоящего Договора.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12.2. Предел ответственности.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Совокупная ответственность каждой из Сторон по всем основаниям, вытекающим из настоящего Договора (включая убытки, упущенную выгоду, возмещение расходов), ограничена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суммой Договора (22 000 000 ₽)</w:t>
      </w:r>
      <w:r>
        <w:rPr>
          <w:rFonts w:ascii="SF Text" w:hAnsi="SF Text" w:cs="SF Text" w:eastAsia="SF Text"/>
          <w:color w:val="000000"/>
        </w:rPr>
        <w:t xml:space="preserve">. Ограничение не применяется к случаям умысла и грубой неосторожности.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12.3.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Исполнитель не несёт ответственности за финансовые результаты Заказчика (выручку парка, загрузку отелей, конверсию в магазинах приложений и т. п.), поскольку эти результаты зависят от множества внешних факторов, неподконтрольных Исполнителю. Гарантируется только соответствие результата Работ Техническому заданию.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12.4.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Стороны не несут ответственности за косвенные убытки (репутационные потери, упущенную выгоду, ущерб третьих лиц), за исключением случаев умысла.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13. ФОРС-МАЖОР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13.1.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Стороны освобождаются от ответственности за частичное или полное неисполнение обязательств по Договору в случае наступления обстоятельств непреодолимой силы — чрезвычайных и непредотвратимых при данных условиях обстоятельств.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13.2.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 таким обстоятельствам относятся, в частности: стихийные бедствия, военные действия, акты террора, массовые беспорядки, эпидемии и пандемии (включая ограничения государственных органов в связи с ними), блокировки интернет-трафика и иных сервисов со стороны иностранных государств или их компаний, делающие невозможным использование ключевой облачной инфраструктуры (хостинг, СУБД, магазины приложений), введение санкций, делающих невозможным проведение платежей.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13.3.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Сторона, для которой наступили форс-мажорные обстоятельства, обязана в течение 10 календарных дней уведомить другую Сторону в письменной форме. Подтверждением наступления форс-мажора служит документ Торгово-промышленной палаты РФ или иной компетентный документ.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13.4.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Если форс-мажор длится более 3 (трёх) месяцев, любая из Сторон вправе расторгнуть Договор в одностороннем внесудебном порядке, письменно уведомив другую Сторону. В этом случае проводится финансовая сверка и расчёт исходя из объёма фактически выполненных Работ и произведённой оплаты.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14. РАЗРЕШЕНИЕ СПОРОВ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14.1.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Все споры и разногласия, возникающие из настоящего Договора, Стороны решают путём переговоров.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14.2.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случае невозможности разрешения споров путём переговоров Сторона, считающая свои права нарушенными, направляет другой Стороне письменную претензию. Срок ответа на претензию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30 (тридцать) календарных дней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 даты получения.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14.3.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 недостижении согласия в претензионном порядке споры передаются на рассмотрение в Арбитражный суд по месту нахождения Заказчика — Арбитражный суд Калужской области.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14.4.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 рассмотрении спора применяется материальное и процессуальное право Российской Федерации.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15. СРОК ДЕЙСТВИЯ И РАСТОРЖЕНИЕ ДОГОВОРА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15.1.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Договор вступает в силу с даты его подписания Сторонами и действует до полного исполнения Сторонами своих обязательств, включая обязательства по гарантийному сроку.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15.2.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Договор может быть расторгнут:</w:t>
      </w:r>
    </w:p>
    <w:p>
      <w:pPr>
        <w:numPr>
          <w:ilvl w:val="0"/>
          <w:numId w:val="101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 соглашению Сторон — в любое время, с составлением протокола о финансовой сверке и объёме фактически выполненных Работ;</w:t>
      </w:r>
    </w:p>
    <w:p>
      <w:pPr>
        <w:numPr>
          <w:ilvl w:val="0"/>
          <w:numId w:val="101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 одностороннем внесудебном порядке Исполнителем — при просрочке оплаты Заказчиком более 30 (тридцати) календарных дней;</w:t>
      </w:r>
    </w:p>
    <w:p>
      <w:pPr>
        <w:numPr>
          <w:ilvl w:val="0"/>
          <w:numId w:val="101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 одностороннем внесудебном порядке Заказчиком — при просрочке сдачи Этапа Исполнителем более 60 (шестидесяти) календарных дней;</w:t>
      </w:r>
    </w:p>
    <w:p>
      <w:pPr>
        <w:numPr>
          <w:ilvl w:val="0"/>
          <w:numId w:val="101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 одностороннем порядке любой Стороной — в случае форс-мажора длительностью более 3 месяцев (п. 13.4).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15.3.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 расторжении Договора Стороны проводят финансовую сверку. Если объём фактически выполненных и принятых Работ превышает сумму произведённых оплат — Заказчик доплачивает разницу за фактически принятые Работы. Если объём произведённых оплат превышает стоимость фактически выполненных и принятых Работ — Исполнитель возвращает разницу в течение 30 дней.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15.4.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 расторжении Договора до полной оплаты Этапа 3 права на уже созданные и принятые Заказчиком РИД сохраняются у Заказчика в объёме, предусмотренном подписанными Актами и произведёнными оплатами. Права на РИД, созданные, но не принятые Заказчиком и не оплаченные, остаются у Исполнителя.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16. ПРОЧИЕ УСЛОВИЯ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16.1.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Любые изменения и дополнения к настоящему Договору действительны при условии их оформления в письменной форме и подписания уполномоченными представителями Сторон. Электронный документооборот (ЭДО) с использованием квалифицированной электронной подписи приравнивается к письменной форме.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16.2.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Официальные уведомления по Договору направляются по юридическим адресам Сторон, указанным в разделе 17, а также дублируются по e-mail:</w:t>
      </w:r>
    </w:p>
    <w:p>
      <w:pPr>
        <w:numPr>
          <w:ilvl w:val="0"/>
          <w:numId w:val="101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 стороны Исполнителя: info@billionsx.com;</w:t>
      </w:r>
    </w:p>
    <w:p>
      <w:pPr>
        <w:numPr>
          <w:ilvl w:val="0"/>
          <w:numId w:val="101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 стороны Заказчика: [УТОЧНИТЬ].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16.3.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Ни одна из Сторон не вправе передавать свои права и обязанности по Договору третьим лицам без письменного согласия другой Стороны, за исключением права Исполнителя привлекать подрядчиков (п. 2.4 и 6.3.1).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16.4.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Договор составлен в 2 (двух) экземплярах, имеющих равную юридическую силу, по одному для каждой Стороны.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16.5.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Неотъемлемой частью Договора являются следующие приложения:</w:t>
      </w:r>
    </w:p>
    <w:p>
      <w:pPr>
        <w:numPr>
          <w:ilvl w:val="0"/>
          <w:numId w:val="1016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Приложение № 1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Техническое задание;</w:t>
      </w:r>
    </w:p>
    <w:p>
      <w:pPr>
        <w:numPr>
          <w:ilvl w:val="0"/>
          <w:numId w:val="1016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Приложение № 2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Календарный план работ;</w:t>
      </w:r>
    </w:p>
    <w:p>
      <w:pPr>
        <w:numPr>
          <w:ilvl w:val="0"/>
          <w:numId w:val="1016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Приложение № 3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Форма Акта сдачи-приёмки работ.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16.6.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части, не урегулированной настоящим Договором, Стороны руководствуются законодательством Российской Федерации, в том числе главами 37 и 39 ГК РФ, статьями 1233, 1234, 1285, 1296 ГК РФ.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17. РЕКВИЗИТЫ И ПОДПИСИ СТОРОН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ИСПОЛНИТЕЛЬ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Индивидуальный предприниматель Иванов Евгений Владимирович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ИНН: 911002153904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ОГРНИП: 325911200092110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Банк: ЮГО-ЗАПАДНЫЙ БАНК ПАО СБЕРБАНК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Р/счёт: 40802810052720016248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БИК: 046015602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Корр. счёт: 30101810600000000602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ИНН банка: 7707083893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КПП банка: 616143001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E-mail: info@billionsx.com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Подпись: ______________________ / Иванов Евгений Владимирович /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ЗАКАЗЧИК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Наименование: Общество с ограниченной ответственностью «ЭТНО-ДЕРЕВНЯ»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Юридический адрес: 249018, Калужская область, Боровский район, д. Петрово, ТВП-7, помещение-4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ИНН: 4003016479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ОГРН: 1054002536565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КПП: 400301001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Банк: АО «РАЙФФАЙЗЕНБАНК»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Р/счёт: 40702810500000110570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БИК: 044525700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Корр. счёт: 30101810200000000700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E-mail: [УТОЧНИТЬ]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Управляющий — ИП Чернова С. А., действующая на основании Договора о передаче полномочий единоличного исполнительного органа № 01/24/ЭД/ПП от 29.08.2024 г.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Подпись: ______________________ / Чернова Светлана Александровна /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М. П.</w:t>
      </w:r>
    </w:p>
    <w:p>
      <w:r>
        <w:rPr>
          <w:rFonts w:ascii="SF Text" w:hAnsi="SF Text" w:cs="SF Text" w:eastAsia="SF Text"/>
          <w:color w:val="000000"/>
        </w:rPr>
        <w:br w:type="page"/>
      </w:r>
    </w:p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ПРИЛОЖЕНИЕ № 1 К ДОГОВОРУ № 04-05/2026</w:t>
      </w:r>
    </w:p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ТЕХНИЧЕСКОЕ ЗАДАНИЕ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на разработку суперприложения ethnomir.app, ре-упаковку сайта ethnomir.ru, ре-брендинг Этномира и продуктовую линейку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0. Назначение и структура документа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0.1.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Настоящее Техническое задание (далее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ТЗ</w:t>
      </w:r>
      <w:r>
        <w:rPr>
          <w:rFonts w:ascii="SF Text" w:hAnsi="SF Text" w:cs="SF Text" w:eastAsia="SF Text"/>
          <w:color w:val="000000"/>
        </w:rPr>
        <w:t xml:space="preserve">) является неотъемлемой частью Договора № 04-05/2026 и описывает полный состав функций, экранов и технических характеристик, которые должны быть реализованы Исполнителем.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0.2.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Структура документа:</w:t>
      </w:r>
    </w:p>
    <w:p>
      <w:pPr>
        <w:numPr>
          <w:ilvl w:val="0"/>
          <w:numId w:val="101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раздел 1 — общие требования и термины;</w:t>
      </w:r>
    </w:p>
    <w:p>
      <w:pPr>
        <w:numPr>
          <w:ilvl w:val="0"/>
          <w:numId w:val="101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разделы 2–10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Блок 1: Мега-приложение Этномир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(клиентский контур, CRM, Паспорт, дизайн-система, архитектура, БД, безопасность, публикация в магазинах);</w:t>
      </w:r>
    </w:p>
    <w:p>
      <w:pPr>
        <w:numPr>
          <w:ilvl w:val="0"/>
          <w:numId w:val="101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раздел 11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Блок 2: Ре-упаковка ethnomir.ru</w:t>
      </w:r>
      <w:r>
        <w:rPr>
          <w:rFonts w:ascii="SF Text" w:hAnsi="SF Text" w:cs="SF Text" w:eastAsia="SF Text"/>
          <w:color w:val="000000"/>
        </w:rP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раздел 12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Блок 3: Ре-брендинг</w:t>
      </w:r>
      <w:r>
        <w:rPr>
          <w:rFonts w:ascii="SF Text" w:hAnsi="SF Text" w:cs="SF Text" w:eastAsia="SF Text"/>
          <w:color w:val="000000"/>
        </w:rP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раздел 13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Блок 4: Продуктовая линейка</w:t>
      </w:r>
      <w:r>
        <w:rPr>
          <w:rFonts w:ascii="SF Text" w:hAnsi="SF Text" w:cs="SF Text" w:eastAsia="SF Text"/>
          <w:color w:val="000000"/>
        </w:rPr>
        <w:t xml:space="preserve">;</w:t>
      </w:r>
    </w:p>
    <w:p>
      <w:pPr>
        <w:numPr>
          <w:ilvl w:val="0"/>
          <w:numId w:val="101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раздел 14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критерии приёмки</w:t>
      </w:r>
      <w:r>
        <w:rPr>
          <w:rFonts w:ascii="SF Text" w:hAnsi="SF Text" w:cs="SF Text" w:eastAsia="SF Text"/>
          <w:color w:val="000000"/>
        </w:rPr>
        <w:t xml:space="preserve">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0.3.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Если требование изложено в тексте ТЗ как «</w:t>
      </w:r>
      <w:r>
        <w:rPr>
          <w:rFonts w:ascii="SF Text" w:hAnsi="SF Text" w:cs="SF Text" w:eastAsia="SF Text"/>
          <w:bCs/>
          <w:b/>
          <w:color w:val="000000"/>
        </w:rPr>
        <w:t xml:space="preserve">должно</w:t>
      </w:r>
      <w:r>
        <w:rPr>
          <w:rFonts w:ascii="SF Text" w:hAnsi="SF Text" w:cs="SF Text" w:eastAsia="SF Text"/>
          <w:color w:val="000000"/>
        </w:rPr>
        <w:t xml:space="preserve">» — оно обязательно к реализации. Если как «</w:t>
      </w:r>
      <w:r>
        <w:rPr>
          <w:rFonts w:ascii="SF Text" w:hAnsi="SF Text" w:cs="SF Text" w:eastAsia="SF Text"/>
          <w:bCs/>
          <w:b/>
          <w:color w:val="000000"/>
        </w:rPr>
        <w:t xml:space="preserve">может</w:t>
      </w:r>
      <w:r>
        <w:rPr>
          <w:rFonts w:ascii="SF Text" w:hAnsi="SF Text" w:cs="SF Text" w:eastAsia="SF Text"/>
          <w:color w:val="000000"/>
        </w:rPr>
        <w:t xml:space="preserve">» / «</w:t>
      </w:r>
      <w:r>
        <w:rPr>
          <w:rFonts w:ascii="SF Text" w:hAnsi="SF Text" w:cs="SF Text" w:eastAsia="SF Text"/>
          <w:bCs/>
          <w:b/>
          <w:color w:val="000000"/>
        </w:rPr>
        <w:t xml:space="preserve">рекомендуется</w:t>
      </w:r>
      <w:r>
        <w:rPr>
          <w:rFonts w:ascii="SF Text" w:hAnsi="SF Text" w:cs="SF Text" w:eastAsia="SF Text"/>
          <w:color w:val="000000"/>
        </w:rPr>
        <w:t xml:space="preserve">» — остаётся на усмотрение Исполнителя в пределах общей концепции.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0.4.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Количественные показатели (число таблиц, функций, экранов, языков) приведены в двух видах:</w:t>
      </w:r>
    </w:p>
    <w:p>
      <w:pPr>
        <w:numPr>
          <w:ilvl w:val="0"/>
          <w:numId w:val="1018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минимальные обязательные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значения, которые должны быть достигнуты для приёмки;</w:t>
      </w:r>
    </w:p>
    <w:p>
      <w:pPr>
        <w:numPr>
          <w:ilvl w:val="0"/>
          <w:numId w:val="1018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целевые (ориентир)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значения на момент подписания ТЗ, к которым стремится продукт в ходе разработки.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Рост целевого показателя в процессе разработки не является нарушением Исполнителем требований ТЗ при условии, что минимальный обязательный показатель выполнен.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1. Общие требования к продукту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1.1. Платформы.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Продукт должен работать на трёх платформах:</w:t>
      </w:r>
    </w:p>
    <w:p>
      <w:pPr>
        <w:numPr>
          <w:ilvl w:val="0"/>
          <w:numId w:val="101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iOS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нативное впечатление на iPhone, версия iOS 16+; публикация в App Store;</w:t>
      </w:r>
    </w:p>
    <w:p>
      <w:pPr>
        <w:numPr>
          <w:ilvl w:val="0"/>
          <w:numId w:val="101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Android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приложение с аналогичным функционалом для Android 10+; публикация в Google Play;</w:t>
      </w:r>
    </w:p>
    <w:p>
      <w:pPr>
        <w:numPr>
          <w:ilvl w:val="0"/>
          <w:numId w:val="101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Web (PWA)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прогрессивное веб-приложение на доменах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ethnomir.app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 в соответствующих разделах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ethnomir.ru</w:t>
      </w:r>
      <w:r>
        <w:rPr>
          <w:rFonts w:ascii="SF Text" w:hAnsi="SF Text" w:cs="SF Text" w:eastAsia="SF Text"/>
          <w:color w:val="000000"/>
        </w:rPr>
        <w:t xml:space="preserve">, работающее в современных браузерах (Chrome, Safari, Firefox, Edge — в актуальных на момент запуска версиях).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Версии на всех трёх платформах должны иметь единую кодовую базу (подход single-page PWA), единые данные (одна база данных PostgreSQL), единую модель пользователя и единый дизайн-язык.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1.2. Языки.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 момент запуска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русский язык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(полностью). Архитектура должна предусматривать возможность добавления дополнительных языков (английский, китайский и др.) через систему локалей без переработки ядра.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1.3. Регионы работы.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Приложение ориентировано на Россию и страны СНГ. Финансовые операции — в рублях РФ через платёжные сервисы, сертифицированные ЦБ РФ (ЮKassa, СБП).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1.4. Целевые аудитории.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Приложение обслуживает шесть аудиторий одновременно:</w:t>
      </w:r>
    </w:p>
    <w:p>
      <w:pPr>
        <w:numPr>
          <w:ilvl w:val="0"/>
          <w:numId w:val="102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гости парка;</w:t>
      </w:r>
    </w:p>
    <w:p>
      <w:pPr>
        <w:numPr>
          <w:ilvl w:val="0"/>
          <w:numId w:val="102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партнёры парка (рестораторы, операторы отелей, хозяева этнодворов, прокаты);</w:t>
      </w:r>
    </w:p>
    <w:p>
      <w:pPr>
        <w:numPr>
          <w:ilvl w:val="0"/>
          <w:numId w:val="102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инвесторы (покупатели недвижимости);</w:t>
      </w:r>
    </w:p>
    <w:p>
      <w:pPr>
        <w:numPr>
          <w:ilvl w:val="0"/>
          <w:numId w:val="102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франчайзи (запускающие Этно-парки в других регионах);</w:t>
      </w:r>
    </w:p>
    <w:p>
      <w:pPr>
        <w:numPr>
          <w:ilvl w:val="0"/>
          <w:numId w:val="102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персонал парка;</w:t>
      </w:r>
    </w:p>
    <w:p>
      <w:pPr>
        <w:numPr>
          <w:ilvl w:val="0"/>
          <w:numId w:val="102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основатель и руководство парка.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1.5. Концептуальные принципы.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Продукт проектируется с опорой на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четыре сквозных принципа</w:t>
      </w:r>
      <w:r>
        <w:rPr>
          <w:rFonts w:ascii="SF Text" w:hAnsi="SF Text" w:cs="SF Text" w:eastAsia="SF Text"/>
          <w:color w:val="000000"/>
        </w:rPr>
        <w:t xml:space="preserve">, которые являются ориентирами при реализации всех модулей:</w:t>
      </w:r>
    </w:p>
    <w:p>
      <w:pPr>
        <w:numPr>
          <w:ilvl w:val="0"/>
          <w:numId w:val="102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Геймификация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вовлечение пользователя через достижения, коллекции, баллы, уровни лояльности;</w:t>
      </w:r>
    </w:p>
    <w:p>
      <w:pPr>
        <w:numPr>
          <w:ilvl w:val="0"/>
          <w:numId w:val="102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Дашбордность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наглядное представление данных и ключевых показателей в реальном времени в клиентской части и в CRM;</w:t>
      </w:r>
    </w:p>
    <w:p>
      <w:pPr>
        <w:numPr>
          <w:ilvl w:val="0"/>
          <w:numId w:val="102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Монетизация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встроенные прямые продажи по всем направлениям парка без агрегаторов-посредников;</w:t>
      </w:r>
    </w:p>
    <w:p>
      <w:pPr>
        <w:numPr>
          <w:ilvl w:val="0"/>
          <w:numId w:val="102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Вдохновение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продуктовый уровень подачи контента: визуал, истории, анимации, культурные открытия.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Эти принципы не являются самостоятельными функциями, а проявляются во всех модулях совокупно.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1.6. Производительность.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Приложение должно стабильно работать при следующих показателях:</w:t>
      </w:r>
    </w:p>
    <w:p>
      <w:pPr>
        <w:numPr>
          <w:ilvl w:val="0"/>
          <w:numId w:val="102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пиковая нагрузка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до 50 000 одновременных активных пользователей (в периоды фестивалей и школьных каникул);</w:t>
      </w:r>
    </w:p>
    <w:p>
      <w:pPr>
        <w:numPr>
          <w:ilvl w:val="0"/>
          <w:numId w:val="102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штатная нагрузка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до 20 000 одновременных активных пользователей;</w:t>
      </w:r>
    </w:p>
    <w:p>
      <w:pPr>
        <w:numPr>
          <w:ilvl w:val="0"/>
          <w:numId w:val="102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время первого отклика (Time to First Byte)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≤ 500 мс;</w:t>
      </w:r>
    </w:p>
    <w:p>
      <w:pPr>
        <w:numPr>
          <w:ilvl w:val="0"/>
          <w:numId w:val="102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время загрузки начального экрана (Largest Contentful Paint)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≤ 2,5 с на 4G-соединении;</w:t>
      </w:r>
    </w:p>
    <w:p>
      <w:pPr>
        <w:numPr>
          <w:ilvl w:val="0"/>
          <w:numId w:val="102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частота кадров анимаций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60 fps на современных смартфонах.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1.7. Доступность.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Требования к доступности интерфейсов реализуются в рамках общепринятых современных практик проектирования мобильных и веб-интерфейсов.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2. Блок 1. Мега-приложение. Клиентский контур — карта навигации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2.1.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Клиентский контур построен вокруг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пяти основных вкладок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нижней панели навигации (Tab Bar) 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двух overlay-инструментов</w:t>
      </w:r>
      <w:r>
        <w:rPr>
          <w:rFonts w:ascii="SF Text" w:hAnsi="SF Text" w:cs="SF Text" w:eastAsia="SF Text"/>
          <w:color w:val="000000"/>
        </w:rPr>
        <w:t xml:space="preserve">, доступных поверх любой вкладки.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2.2. Пять вкладок Tab Bar: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308"/>
        <w:gridCol w:w="2616"/>
        <w:gridCol w:w="5276"/>
      </w:tblGrid>
      <w:tr>
        <w:trPr>
          <w:tblHeader w:val="true"/>
        </w:trPr>
        <w:tc>
          <w:tcPr>
            <w:tcW w:type="dxa" w:w="130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№</w:t>
            </w:r>
          </w:p>
        </w:tc>
        <w:tc>
          <w:tcPr>
            <w:tcW w:type="dxa" w:w="261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Вкладка</w:t>
            </w:r>
          </w:p>
        </w:tc>
        <w:tc>
          <w:tcPr>
            <w:tcW w:type="dxa" w:w="527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Ключевой модуль</w:t>
            </w:r>
          </w:p>
        </w:tc>
      </w:tr>
      <w:tr>
        <w:tc>
          <w:tcPr>
            <w:tcW w:type="dxa" w:w="130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</w:t>
            </w:r>
          </w:p>
        </w:tc>
        <w:tc>
          <w:tcPr>
            <w:tcW w:type="dxa" w:w="261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Парк</w:t>
            </w:r>
          </w:p>
        </w:tc>
        <w:tc>
          <w:tcPr>
            <w:tcW w:type="dxa" w:w="527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Главная «Сегодня» (М00)</w:t>
            </w:r>
          </w:p>
        </w:tc>
      </w:tr>
      <w:tr>
        <w:tc>
          <w:tcPr>
            <w:tcW w:type="dxa" w:w="130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</w:t>
            </w:r>
          </w:p>
        </w:tc>
        <w:tc>
          <w:tcPr>
            <w:tcW w:type="dxa" w:w="261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Билеты</w:t>
            </w:r>
          </w:p>
        </w:tc>
        <w:tc>
          <w:tcPr>
            <w:tcW w:type="dxa" w:w="527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Билеты, туры, мастер-классы, музеи, расписание, события, сертификаты, группы (М01)</w:t>
            </w:r>
          </w:p>
        </w:tc>
      </w:tr>
      <w:tr>
        <w:tc>
          <w:tcPr>
            <w:tcW w:type="dxa" w:w="130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261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Жильё</w:t>
            </w:r>
          </w:p>
        </w:tc>
        <w:tc>
          <w:tcPr>
            <w:tcW w:type="dxa" w:w="527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Бронирование отелей / сервисы в номер / инвест. недвижимость (М02)</w:t>
            </w:r>
          </w:p>
        </w:tc>
      </w:tr>
      <w:tr>
        <w:tc>
          <w:tcPr>
            <w:tcW w:type="dxa" w:w="130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4</w:t>
            </w:r>
          </w:p>
        </w:tc>
        <w:tc>
          <w:tcPr>
            <w:tcW w:type="dxa" w:w="261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Услуги</w:t>
            </w:r>
          </w:p>
        </w:tc>
        <w:tc>
          <w:tcPr>
            <w:tcW w:type="dxa" w:w="527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Доставка, рестораны, СПА, развлечения, прокат (М03)</w:t>
            </w:r>
          </w:p>
        </w:tc>
      </w:tr>
      <w:tr>
        <w:tc>
          <w:tcPr>
            <w:tcW w:type="dxa" w:w="130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</w:t>
            </w:r>
          </w:p>
        </w:tc>
        <w:tc>
          <w:tcPr>
            <w:tcW w:type="dxa" w:w="261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Этномир</w:t>
            </w:r>
          </w:p>
        </w:tc>
        <w:tc>
          <w:tcPr>
            <w:tcW w:type="dxa" w:w="5276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Портал 22 лендингов (М07)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2.3. Два overlay-инструмента</w:t>
      </w:r>
      <w:r>
        <w:rPr>
          <w:rFonts w:ascii="SF Text" w:hAnsi="SF Text" w:cs="SF Text" w:eastAsia="SF Text"/>
          <w:color w:val="000000"/>
        </w:rPr>
        <w:t xml:space="preserve">, доступных на любом экране:</w:t>
      </w:r>
    </w:p>
    <w:p>
      <w:pPr>
        <w:numPr>
          <w:ilvl w:val="0"/>
          <w:numId w:val="102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Паспорт путешественника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(М04) — плавающая кнопка в правом верхнем углу, открывает overlay с четырьмя разделами;</w:t>
      </w:r>
    </w:p>
    <w:p>
      <w:pPr>
        <w:numPr>
          <w:ilvl w:val="0"/>
          <w:numId w:val="102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Глобальный поиск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(М14) — кнопка «Поиск» в центре Tab Bar, открывает overlay с поисковой строкой и индексом 150+ объектов контента.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2.4. Функциональные модули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(всего 14, минимально обязательных):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770"/>
        <w:gridCol w:w="4792"/>
        <w:gridCol w:w="2638"/>
      </w:tblGrid>
      <w:tr>
        <w:trPr>
          <w:tblHeader w:val="true"/>
        </w:trP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№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Модуль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Раздел ТЗ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М00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Главная «Сегодня»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3.1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М01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Билеты, туры, мастер-классы, музеи, расписание, события, сертификаты, группы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3.2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М02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Жильё: бронирование, сервисы в номер, инвест. недвижимость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3.3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М03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Услуги: доставка, рестораны, СПА, развлечения, прокат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3.4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М04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Паспорт путешественника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3.5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М05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Чеки и QR-экосистема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3.6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М06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Этномир-хаб (22 лендинга)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3.7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М07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Франшиза Этномира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3.8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М08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Календарь событий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3.9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М09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Сертификаты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3.10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М10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B2B-направление (корпоративные клиенты, школы, турагентства)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3.11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М11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Отзывы и NPS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3.12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М12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Уведомления (push / SMS / in-app)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3.13</w:t>
            </w:r>
          </w:p>
        </w:tc>
      </w:tr>
      <w:tr>
        <w:tc>
          <w:tcPr>
            <w:tcW w:type="dxa" w:w="177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М13</w:t>
            </w:r>
          </w:p>
        </w:tc>
        <w:tc>
          <w:tcPr>
            <w:tcW w:type="dxa" w:w="479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Глобальный поиск</w:t>
            </w:r>
          </w:p>
        </w:tc>
        <w:tc>
          <w:tcPr>
            <w:tcW w:type="dxa" w:w="26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3.14</w:t>
            </w:r>
          </w:p>
        </w:tc>
      </w:tr>
    </w:tbl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3. Клиентский контур — подробное описание модулей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3.1. Модуль М00. Главная «Сегодня»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Первая вкладка Tab Bar. Точка входа в приложение — живая лента «что происходит в парке сейчас».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Минимально обязательные экраны и элементы:</w:t>
      </w:r>
    </w:p>
    <w:p>
      <w:pPr>
        <w:numPr>
          <w:ilvl w:val="0"/>
          <w:numId w:val="102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шапка с названием «Этномир», датой и кнопками «Поиск» / «Паспорт»;</w:t>
      </w:r>
    </w:p>
    <w:p>
      <w:pPr>
        <w:numPr>
          <w:ilvl w:val="0"/>
          <w:numId w:val="102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верхний баннер-карусель с ключевыми направлениями (минимум 3 слайда, автопрокрутка);</w:t>
      </w:r>
    </w:p>
    <w:p>
      <w:pPr>
        <w:numPr>
          <w:ilvl w:val="0"/>
          <w:numId w:val="102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строка счётчиков парка (пример: «1M+ гостей», «85 этнодворов», «13 отелей»);</w:t>
      </w:r>
    </w:p>
    <w:p>
      <w:pPr>
        <w:numPr>
          <w:ilvl w:val="0"/>
          <w:numId w:val="102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горизонтальная лента актуальных событий и программ (минимум 8 баннеров) с переходом из каждого баннера на соответствующий экран приложения;</w:t>
      </w:r>
    </w:p>
    <w:p>
      <w:pPr>
        <w:numPr>
          <w:ilvl w:val="0"/>
          <w:numId w:val="102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виджет погоды с локальным прогнозом парка и индикатором времени до открытия / закрытия;</w:t>
      </w:r>
    </w:p>
    <w:p>
      <w:pPr>
        <w:numPr>
          <w:ilvl w:val="0"/>
          <w:numId w:val="102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нижний Tab Bar в стиле iOS 26+ Liquid Glass.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3.2. Модуль М01. Парк и билеты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Вторая вкладка Tab Bar. Восемь суб-разделов, переключаемых через горизонтальный переключатель в шапке: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Билеты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входные билеты (взрослый, детский, групповой); календарь дат; автоматический выбор тарифа (будни / выходные / праздники); кнопка «В корзину»;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Туры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13 экскурсий и туров от 600 ₽ до 3 500 ₽ с описанием, длительностью, датами, количеством мест;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Мастер-классы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41 мастер-класс в 4 категориях (ремёсла, кулинария, искусство, активности); онлайн-запись с выбором времени и участников;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Музеи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перечень музеев и выставок на территории парка с описанием;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Расписание на сегодня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live-лента активностей, каждая с временем, локацией, ценой, возрастным ограничением;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События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20 событий в году (фестивали, праздники, тематические недели);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Сертификаты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подарочные сертификаты номиналом 1 000 / 3 000 / 5 000 / 10 000 ₽ со сроком действия 12 месяцев;</w:t>
      </w:r>
    </w:p>
    <w:p>
      <w:pPr>
        <w:numPr>
          <w:ilvl w:val="0"/>
          <w:numId w:val="102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Для групп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B2B-ветка с тремя сегментами (корпоративные клиенты, школьники, турагентства); минимум 16 площадок для MICE.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Общие требования к модулю:</w:t>
      </w:r>
    </w:p>
    <w:p>
      <w:pPr>
        <w:numPr>
          <w:ilvl w:val="0"/>
          <w:numId w:val="102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корзина и чек-аут единые для всего приложения (п. 3.3 и 3.4);</w:t>
      </w:r>
    </w:p>
    <w:p>
      <w:pPr>
        <w:numPr>
          <w:ilvl w:val="0"/>
          <w:numId w:val="102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автоматическое начисление баллов при оплате (правила — п. 3.5);</w:t>
      </w:r>
    </w:p>
    <w:p>
      <w:pPr>
        <w:numPr>
          <w:ilvl w:val="0"/>
          <w:numId w:val="102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выдача QR-чека с возможностью бесконтактного входа на кассе (п. 3.6);</w:t>
      </w:r>
    </w:p>
    <w:p>
      <w:pPr>
        <w:numPr>
          <w:ilvl w:val="0"/>
          <w:numId w:val="102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публичная ссылка на чек без авторизации (п. 3.6).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3.3. Модуль М02. Жильё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Третья вкладка Tab Bar. Трёхчастная модель, переключаемая через тумблер в шапке: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А. Забронировать.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каталог минимум 13 объектов размещения (отели, СПА-отели, эконом-варианты, премиум-виллы);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общий номерной фонд — минимум 330 номеров;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минимум 39 типов номеров с индивидуальными ценами;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минимум 9 фотографий на объект в галерее;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фильтры: тип объекта (отель / СПА / эконом / премиум), рейтинг, удобства, ценовой диапазон;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календарь доступности с выбором дат заезда / выезда, количества гостей;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карточка отеля: название, рейтинг, галерея, описание, удобства (список), заезд/выезд, цена от;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кнопка «В корзину» с моментальным подтверждением брони;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блок «Ближайшие POI» (point of interest — точки интереса рядом);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поддержка анонимного бронирования с последующей привязкой к пользователю по номеру телефона при первом входе;</w:t>
      </w:r>
    </w:p>
    <w:p>
      <w:pPr>
        <w:numPr>
          <w:ilvl w:val="0"/>
          <w:numId w:val="102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промо-акции с таймером обратного отсчёта и персональными скидками для лояльных гостей.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Б. Гостю (для активных проживающих).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Минимум 6 сервисов в номер, оформляемых в один тап и создающих тикет в модуле CRM «Заявки»:</w:t>
      </w:r>
    </w:p>
    <w:p>
      <w:pPr>
        <w:numPr>
          <w:ilvl w:val="0"/>
          <w:numId w:val="102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заказ уборки (+ 10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вызов консьержа (+ 5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еда в номер (из 15+ ресторанов, + 15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товары в номер (+ 15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продление проживания (+ 100 баллов);</w:t>
      </w:r>
    </w:p>
    <w:p>
      <w:pPr>
        <w:numPr>
          <w:ilvl w:val="0"/>
          <w:numId w:val="102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цифровой чек-аут (+ 20 баллов).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В. Недвижимость (инвесторы).</w:t>
      </w:r>
    </w:p>
    <w:p>
      <w:pPr>
        <w:numPr>
          <w:ilvl w:val="0"/>
          <w:numId w:val="102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блок-лендинг «Инвестируй в Этномире»: ROI до 22 %, рост цены участков +233 % за 5 лет, средний арендный доход по трём сценариям (Airbnb, долгосрочная аренда, сдача под мероприятия);</w:t>
      </w:r>
    </w:p>
    <w:p>
      <w:pPr>
        <w:numPr>
          <w:ilvl w:val="0"/>
          <w:numId w:val="102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каталог минимум 8 объектов в продаже (студии, 1-2 комнатные апартаменты, виллы, коммерческие площади) — название, площадь, цена, ROI, галерея;</w:t>
      </w:r>
    </w:p>
    <w:p>
      <w:pPr>
        <w:numPr>
          <w:ilvl w:val="0"/>
          <w:numId w:val="102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заявка на просмотр одним тапом — передаётся в CRM «Лиды» с пометкой «Инвестиционная недвижимость».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3.4. Модуль М03. Услуги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Четвёртая вкладка Tab Bar. Шесть суб-разделов, все работают в единой корзине:</w:t>
      </w:r>
    </w:p>
    <w:p>
      <w:pPr>
        <w:numPr>
          <w:ilvl w:val="0"/>
          <w:numId w:val="103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Доставка еды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блюда от ресторанов парка; минимум 5 наименований в каждой кухне;</w:t>
      </w:r>
    </w:p>
    <w:p>
      <w:pPr>
        <w:numPr>
          <w:ilvl w:val="0"/>
          <w:numId w:val="103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Доставка напитков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15 позиций;</w:t>
      </w:r>
    </w:p>
    <w:p>
      <w:pPr>
        <w:numPr>
          <w:ilvl w:val="0"/>
          <w:numId w:val="103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Рестораны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18 заведений разных кухонь; карточка ресторана: название, рейтинг, описание, средний чек, меню (минимум 166 позиций суммарно), кнопка «Забронировать стол» / «Предзаказ»;</w:t>
      </w:r>
    </w:p>
    <w:p>
      <w:pPr>
        <w:numPr>
          <w:ilvl w:val="0"/>
          <w:numId w:val="103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СПА и бани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каталог СПА-услуг с описанием процедур и ценами;</w:t>
      </w:r>
    </w:p>
    <w:p>
      <w:pPr>
        <w:numPr>
          <w:ilvl w:val="0"/>
          <w:numId w:val="103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Развлечения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каталог развлечений в парке (экскурсии, детские программы, активности, трансфер до парка и по территории);</w:t>
      </w:r>
    </w:p>
    <w:p>
      <w:pPr>
        <w:numPr>
          <w:ilvl w:val="0"/>
          <w:numId w:val="103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Прокат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каталог проката (велосипеды, лыжи, лошади и т. п.).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Правила начисления баллов по категориям: доставка +15, ресторан +25, СПА +35, мастер-класс +40.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3.5. Модуль М04. Паспорт путешественника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А. Главный экран Паспорта.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Открывается по плавающей кнопке в правом верхнем углу любой вкладки. Стилизован под государственный паспорт в тёмной теме: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фото пользователя в рамке;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поля: фамилия / имя, гражданство, дата рождения, пол, номер паспорта (формат ETH-XXXXX), дата выдачи, орган выдачи, срок действия;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счётчики: открыто стран (пример: 48/96), регионов (пример: 42/85), баланс баллов;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индикатор текущего уровня («Турист» / «Знаток» / «Легенда» / «Посол Этномира») с прогресс-баром;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кнопка «CRM Управление» (видима только пользователям с ролью «Владелец» / сотрудник) с тремя мини-KPI (сумма выручки, средний чек, здоровье системы);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кнопка «Сканировать QR-код» — запуск камеры для открытия страны / региона;</w:t>
      </w:r>
    </w:p>
    <w:p>
      <w:pPr>
        <w:numPr>
          <w:ilvl w:val="0"/>
          <w:numId w:val="103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блок «Коллекция» со строками «Страны мира», «Регионы России», «Достижения» с прогресс-индикаторами.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Б. Четыре раздела Паспорта. 15 экранов внутри (минимум):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413"/>
        <w:gridCol w:w="5787"/>
      </w:tblGrid>
      <w:tr>
        <w:trPr>
          <w:tblHeader w:val="true"/>
        </w:trPr>
        <w:tc>
          <w:tcPr>
            <w:tcW w:type="dxa" w:w="341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Раздел</w:t>
            </w:r>
          </w:p>
        </w:tc>
        <w:tc>
          <w:tcPr>
            <w:tcW w:type="dxa" w:w="578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Экраны</w:t>
            </w:r>
          </w:p>
        </w:tc>
      </w:tr>
      <w:tr>
        <w:tc>
          <w:tcPr>
            <w:tcW w:type="dxa" w:w="341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Коллекция (4)</w:t>
            </w:r>
          </w:p>
        </w:tc>
        <w:tc>
          <w:tcPr>
            <w:tcW w:type="dxa" w:w="578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Страны мира; Регионы России; Достижения; Гастро-коллекция</w:t>
            </w:r>
          </w:p>
        </w:tc>
      </w:tr>
      <w:tr>
        <w:tc>
          <w:tcPr>
            <w:tcW w:type="dxa" w:w="341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Мои данные (6)</w:t>
            </w:r>
          </w:p>
        </w:tc>
        <w:tc>
          <w:tcPr>
            <w:tcW w:type="dxa" w:w="578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Мои бронирования; Мои заказы; Мои чеки; Избранное; Мои заявки; Мои отзывы</w:t>
            </w:r>
          </w:p>
        </w:tc>
      </w:tr>
      <w:tr>
        <w:tc>
          <w:tcPr>
            <w:tcW w:type="dxa" w:w="341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Кошелёк (1)</w:t>
            </w:r>
          </w:p>
        </w:tc>
        <w:tc>
          <w:tcPr>
            <w:tcW w:type="dxa" w:w="578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Баланс баллов и история</w:t>
            </w:r>
          </w:p>
        </w:tc>
      </w:tr>
      <w:tr>
        <w:tc>
          <w:tcPr>
            <w:tcW w:type="dxa" w:w="341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Инструменты (4)</w:t>
            </w:r>
          </w:p>
        </w:tc>
        <w:tc>
          <w:tcPr>
            <w:tcW w:type="dxa" w:w="578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Настройки; Конфиденциальность (согласие на обработку ПДн); Пользовательское соглашение; Быстрый вход в CRM (для ролей сотрудников)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В. Детали коллекций:</w:t>
      </w:r>
    </w:p>
    <w:p>
      <w:pPr>
        <w:numPr>
          <w:ilvl w:val="0"/>
          <w:numId w:val="103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Страны мира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96 стран, сетка с флагами; закрытые — с QR-иконкой, открытые — с зелёной рамкой; при тапе — детальный экран страны (флаг, столица, население, площадь, «факт дня», статус «Посещено» с датой);</w:t>
      </w:r>
    </w:p>
    <w:p>
      <w:pPr>
        <w:numPr>
          <w:ilvl w:val="0"/>
          <w:numId w:val="103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Регионы России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85 регионов, сгруппированных по 8 федеральным округам; открытие через QR в соответствующем этнодворе;</w:t>
      </w:r>
    </w:p>
    <w:p>
      <w:pPr>
        <w:numPr>
          <w:ilvl w:val="0"/>
          <w:numId w:val="103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Достижения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30 достижений в 4 уровнях (бронза / серебро / золото / легенда);</w:t>
      </w:r>
    </w:p>
    <w:p>
      <w:pPr>
        <w:numPr>
          <w:ilvl w:val="0"/>
          <w:numId w:val="103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Гастро-коллекция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18 блюд народов мира с бонусом +500 баллов за полный сбор и значком «Гурман».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Г. Геймификация и баллы.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Минимум 10 способов заработать баллы: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регистрация в приложении — 100;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покупка билета — 50–200;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бронирование отеля — 200–500;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запись на мастер-класс — 30–100;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заказ в ресторане — 30–100;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отзыв с фото — 50;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открытие нового павильона (QR) — 20;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реферал друга — 150;</w:t>
      </w:r>
    </w:p>
    <w:p>
      <w:pPr>
        <w:numPr>
          <w:ilvl w:val="0"/>
          <w:numId w:val="103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ежедневный вход — 5.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Минимум 6 способов потратить баллы:</w:t>
      </w:r>
    </w:p>
    <w:p>
      <w:pPr>
        <w:numPr>
          <w:ilvl w:val="0"/>
          <w:numId w:val="103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скидки на билеты и услуги;</w:t>
      </w:r>
    </w:p>
    <w:p>
      <w:pPr>
        <w:numPr>
          <w:ilvl w:val="0"/>
          <w:numId w:val="103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бесплатные мастер-классы за баллы;</w:t>
      </w:r>
    </w:p>
    <w:p>
      <w:pPr>
        <w:numPr>
          <w:ilvl w:val="0"/>
          <w:numId w:val="103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эксклюзивный мерч в «Кошельке»;</w:t>
      </w:r>
    </w:p>
    <w:p>
      <w:pPr>
        <w:numPr>
          <w:ilvl w:val="0"/>
          <w:numId w:val="103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апгрейд номера на следующую категорию;</w:t>
      </w:r>
    </w:p>
    <w:p>
      <w:pPr>
        <w:numPr>
          <w:ilvl w:val="0"/>
          <w:numId w:val="103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ранний доступ к событиям;</w:t>
      </w:r>
    </w:p>
    <w:p>
      <w:pPr>
        <w:numPr>
          <w:ilvl w:val="0"/>
          <w:numId w:val="103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пожертвования на программы наследия.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Указанные значения начислений и списаний — примерные и приведены для иллюстрации логики программы лояльности. Точные правила (пороги начислений, курсы конверсии, размеры скидок, правила сгорания баллов по сроку давности) определяются и корректируются Заказчиком в рабочем порядке через CRM без изменения настоящего Договора.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Д. Уровни лояльности.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Минимум 5 уровней: Гость → Турист → Знаток → Легенда → Посол Этномира. Правила перехода (пороги в баллах) настраиваются через CRM.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3.6. Модуль М05. Чеки и QR-экосистема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Каждая покупка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(билет, бронь, заказ, мастер-класс, сертификат) создаёт неизменяемый чек с уникальным номером в формате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ETM-YYMMDD-XXXXX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(например,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ETM-260401-32FFD</w:t>
      </w:r>
      <w:r>
        <w:rPr>
          <w:rFonts w:ascii="SF Text" w:hAnsi="SF Text" w:cs="SF Text" w:eastAsia="SF Text"/>
          <w:color w:val="000000"/>
        </w:rPr>
        <w:t xml:space="preserve">).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QR-код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размером не менее 200×200 пикселей для бесконтактного считывания на кассе / в отеле / в ресторане.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Публичная ссылка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вида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ethnomir.app/r/ETM-YYMMDD-XXXXX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можно открыть без авторизации и передать третьему лицу (бухгалтерии, родителям, коллегам).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Содержимое чека: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номер, статус (Ожидает оплаты / Оплачен / Возврат), дата, сумма, состав (позиции с количеством), связанные брони, QR-код для кассира.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Дизайн: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авиационный boarding pass — тёмная шапка с брендом «Этномир», крупный номер, QR в рамке.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HMAC-подпись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каждого чека криптографическим ключом — гарантия неизменяемости; проверка при сканировании на кассе.</w:t>
      </w:r>
    </w:p>
    <w:p>
      <w:pPr>
        <w:numPr>
          <w:ilvl w:val="0"/>
          <w:numId w:val="103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Возврат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через отдельную операцию, которая создаёт новый связанный чек со статусом «Возврат» и ссылкой на оригинал.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3.7. Модуль М06. Этномир-хаб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Пятая вкладка Tab Bar — портал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22 лендингов</w:t>
      </w:r>
      <w:r>
        <w:rPr>
          <w:rFonts w:ascii="SF Text" w:hAnsi="SF Text" w:cs="SF Text" w:eastAsia="SF Text"/>
          <w:color w:val="000000"/>
        </w:rPr>
        <w:t xml:space="preserve">, разбитых на три смысловых пакета. Каждый лендинг представляет собой отдельную посадочную страницу внутри приложения и на веб-версии, с собственным CTA. Наполнение (тексты, медиаматериалы, конкретные блоки) согласовывается и предоставляется Заказчиком в рабочем порядке; Исполнитель обеспечивает техническую реализацию и интеграцию.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А. Бизнес (7 лендингов):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Инвестиционная недвижимость.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Франшиза Этномира.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Аренда коммерческих площадей.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Зайти своим бизнесом.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Построить новый район.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Этномир 2030.</w:t>
      </w:r>
    </w:p>
    <w:p>
      <w:pPr>
        <w:numPr>
          <w:ilvl w:val="0"/>
          <w:numId w:val="103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Сельское хозяйство.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Б. Этномир (5 лендингов):</w:t>
      </w:r>
    </w:p>
    <w:p>
      <w:pPr>
        <w:numPr>
          <w:ilvl w:val="0"/>
          <w:numId w:val="103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Наследие.</w:t>
      </w:r>
    </w:p>
    <w:p>
      <w:pPr>
        <w:numPr>
          <w:ilvl w:val="0"/>
          <w:numId w:val="103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Основатель Этномира.</w:t>
      </w:r>
    </w:p>
    <w:p>
      <w:pPr>
        <w:numPr>
          <w:ilvl w:val="0"/>
          <w:numId w:val="103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Благотворительность.</w:t>
      </w:r>
    </w:p>
    <w:p>
      <w:pPr>
        <w:numPr>
          <w:ilvl w:val="0"/>
          <w:numId w:val="103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Вакансии.</w:t>
      </w:r>
    </w:p>
    <w:p>
      <w:pPr>
        <w:numPr>
          <w:ilvl w:val="0"/>
          <w:numId w:val="103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Экология.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В. Для гостей (10 лендингов):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Как добраться.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FAQ.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Отзывы гостей.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Журнал статей.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Согласие на обработку персональных данных.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Контакты.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Политика конфиденциальности.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Пользовательское соглашение.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Правила программы лояльности.</w:t>
      </w:r>
    </w:p>
    <w:p>
      <w:pPr>
        <w:numPr>
          <w:ilvl w:val="0"/>
          <w:numId w:val="103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Правила использования промокодов.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3.8. Модуль М07. Франшиза Этномира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Отдельный лендинг-воронка B2B-продаж с формой заявки, интегрированной с модулем CRM «Лиды». Наполнение лендинга (тексты, цифры, медиаматериалы, состав блоков) согласовывается и предоставляется Заказчиком в рабочем порядке; Исполнитель обеспечивает техническую реализацию, форму заявки и сквозную интеграцию «заявка → CRM → уведомление ответственному».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3.9. Модуль М08. Календарь событий</w:t>
      </w:r>
    </w:p>
    <w:p>
      <w:pPr>
        <w:numPr>
          <w:ilvl w:val="0"/>
          <w:numId w:val="103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Месячная сетка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 индикацией событий: «Фестиваль» (красный), «Праздник» (синий), «Дети» (жёлтый), «Событие» (зелёный);</w:t>
      </w:r>
    </w:p>
    <w:p>
      <w:pPr>
        <w:numPr>
          <w:ilvl w:val="0"/>
          <w:numId w:val="103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Минимум 20 тематических недель в году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(примеры: «Неделя памятников», «Неделя древних цивилизаций», «Неделя Средиземноморья», Масленица);</w:t>
      </w:r>
    </w:p>
    <w:p>
      <w:pPr>
        <w:numPr>
          <w:ilvl w:val="0"/>
          <w:numId w:val="103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Карточка события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название, даты, описание, связанные активности, CTA «Забронировать отель» и «Купить билет»;</w:t>
      </w:r>
    </w:p>
    <w:p>
      <w:pPr>
        <w:numPr>
          <w:ilvl w:val="0"/>
          <w:numId w:val="1039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Связь с отелями</w:t>
      </w:r>
      <w:r>
        <w:rPr>
          <w:rFonts w:ascii="SF Text" w:hAnsi="SF Text" w:cs="SF Text" w:eastAsia="SF Text"/>
          <w:color w:val="000000"/>
        </w:rPr>
        <w:t xml:space="preserve">: блок-уведомление «Номера на праздничные даты заканчиваются за 2–3 недели. Забронируйте сейчас со скидкой!» с прямым переходом в «Жильё» (кросс-продажа).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3.10. Модуль М09. Сертификаты</w:t>
      </w:r>
    </w:p>
    <w:p>
      <w:pPr>
        <w:numPr>
          <w:ilvl w:val="0"/>
          <w:numId w:val="104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4 номинала</w:t>
      </w:r>
      <w:r>
        <w:rPr>
          <w:rFonts w:ascii="SF Text" w:hAnsi="SF Text" w:cs="SF Text" w:eastAsia="SF Text"/>
          <w:color w:val="000000"/>
        </w:rPr>
        <w:t xml:space="preserve">: 1 000 ₽ (мастер-класс на 1 чел.), 3 000 ₽ (билет + мастер-класс + обед), 5 000 ₽ (выходные на двоих), 10 000 ₽ (премиум отдых);</w:t>
      </w:r>
    </w:p>
    <w:p>
      <w:pPr>
        <w:numPr>
          <w:ilvl w:val="0"/>
          <w:numId w:val="104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Срок действия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12 месяцев с даты покупки;</w:t>
      </w:r>
    </w:p>
    <w:p>
      <w:pPr>
        <w:numPr>
          <w:ilvl w:val="0"/>
          <w:numId w:val="104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Возможность передачи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третьему лицу (сертификат привязан не к покупателю, а к коду сертификата);</w:t>
      </w:r>
    </w:p>
    <w:p>
      <w:pPr>
        <w:numPr>
          <w:ilvl w:val="0"/>
          <w:numId w:val="104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Применение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на любые услуги парка (билеты, отели, мастер-классы, рестораны);</w:t>
      </w:r>
    </w:p>
    <w:p>
      <w:pPr>
        <w:numPr>
          <w:ilvl w:val="0"/>
          <w:numId w:val="104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Состояние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отображается в Паспорте (раздел «Мои заявки»).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3.11. Модуль М10. B2B-направление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Лендинги внутри «Для групп»:</w:t>
      </w:r>
    </w:p>
    <w:p>
      <w:pPr>
        <w:numPr>
          <w:ilvl w:val="0"/>
          <w:numId w:val="104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Корпоративные клиенты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минимум 16 площадок для MICE, банкетов, конференций, тимбилдингов; форма заявки;</w:t>
      </w:r>
    </w:p>
    <w:p>
      <w:pPr>
        <w:numPr>
          <w:ilvl w:val="0"/>
          <w:numId w:val="104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Школьники и студенты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образовательные программы, интерактивные экскурсии, детские лагеря; форма заявки;</w:t>
      </w:r>
    </w:p>
    <w:p>
      <w:pPr>
        <w:numPr>
          <w:ilvl w:val="0"/>
          <w:numId w:val="104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Турагентства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групповые пакеты с проживанием и питанием, комиссия для агентов; форма заявки.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Все заявки передаются в модуль CRM «Лиды» с пометкой категории.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3.12. Модуль М11. Отзывы и NPS</w:t>
      </w:r>
    </w:p>
    <w:p>
      <w:pPr>
        <w:numPr>
          <w:ilvl w:val="0"/>
          <w:numId w:val="104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Минимум 309 отзывов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(на момент запуска) — на объекты (отели, рестораны, мастер-классы); средний рейтинг — целевой 4.6+ звёзд;</w:t>
      </w:r>
    </w:p>
    <w:p>
      <w:pPr>
        <w:numPr>
          <w:ilvl w:val="0"/>
          <w:numId w:val="104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NPS (Net Promoter Score — индекс лояльности клиентов)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автоматический подсчёт по формуле NPS на основе ответов гостей после посещения; цель — 91 % и выше;</w:t>
      </w:r>
    </w:p>
    <w:p>
      <w:pPr>
        <w:numPr>
          <w:ilvl w:val="0"/>
          <w:numId w:val="104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Интерфейс добавления отзыва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рейтинг (1–5 звёзд), текст, прикрепление до 3 фото; начисление + 50 баллов за отзыв с фото;</w:t>
      </w:r>
    </w:p>
    <w:p>
      <w:pPr>
        <w:numPr>
          <w:ilvl w:val="0"/>
          <w:numId w:val="104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Ответ администрации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каждый отзыв может получить официальный ответ (функционал в CRM «Reviews»); ответ виден всем гостям под отзывом;</w:t>
      </w:r>
    </w:p>
    <w:p>
      <w:pPr>
        <w:numPr>
          <w:ilvl w:val="0"/>
          <w:numId w:val="104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Модерация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автоматическая фильтрация ненормативной лексики + ручная модерация в CRM.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3.13. Модуль М12. Уведомления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Три канала доставки:</w:t>
      </w:r>
    </w:p>
    <w:p>
      <w:pPr>
        <w:numPr>
          <w:ilvl w:val="0"/>
          <w:numId w:val="104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Push-уведомления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через Firebase Cloud Messaging; шаблоны настраиваются в CRM «Notifications»;</w:t>
      </w:r>
    </w:p>
    <w:p>
      <w:pPr>
        <w:numPr>
          <w:ilvl w:val="0"/>
          <w:numId w:val="104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SMS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через сервис SMS-отправки (SMS.ru или аналог), с rate-limiting (защита от спама); используется для OTP при входе и критичных уведомлений;</w:t>
      </w:r>
    </w:p>
    <w:p>
      <w:pPr>
        <w:numPr>
          <w:ilvl w:val="0"/>
          <w:numId w:val="104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In-app центр уведомлений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экран со списком всех уведомлений; открывается из шапки Паспорта по иконке колокольчика.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Типы уведомлений:</w:t>
      </w:r>
    </w:p>
    <w:p>
      <w:pPr>
        <w:numPr>
          <w:ilvl w:val="0"/>
          <w:numId w:val="104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маркетинговые (акции, скидки, бонусы);</w:t>
      </w:r>
    </w:p>
    <w:p>
      <w:pPr>
        <w:numPr>
          <w:ilvl w:val="0"/>
          <w:numId w:val="104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транзакционные (подтверждение оплаты, напоминание о брони);</w:t>
      </w:r>
    </w:p>
    <w:p>
      <w:pPr>
        <w:numPr>
          <w:ilvl w:val="0"/>
          <w:numId w:val="104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операционные (изменение времени мастер-класса, отмена события).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Инфраструктура в БД: отдельные таблицы для промо-акций, промо-баннеров, промо-кодов, использований промо-кодов, push-сообщений, push-подписок, push-токенов, уведомлений и ограничителей частоты SMS.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3.14. Модуль М13. Глобальный поиск</w:t>
      </w:r>
    </w:p>
    <w:p>
      <w:pPr>
        <w:numPr>
          <w:ilvl w:val="0"/>
          <w:numId w:val="104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Единая строка поиска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поверх любой вкладки;</w:t>
      </w:r>
    </w:p>
    <w:p>
      <w:pPr>
        <w:numPr>
          <w:ilvl w:val="0"/>
          <w:numId w:val="104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Индекс минимум 150 объектов контента</w:t>
      </w:r>
      <w:r>
        <w:rPr>
          <w:rFonts w:ascii="SF Text" w:hAnsi="SF Text" w:cs="SF Text" w:eastAsia="SF Text"/>
          <w:color w:val="000000"/>
        </w:rPr>
        <w:t xml:space="preserve">: отели, рестораны, туры, мастер-классы, события, страны, регионы, статьи;</w:t>
      </w:r>
    </w:p>
    <w:p>
      <w:pPr>
        <w:numPr>
          <w:ilvl w:val="0"/>
          <w:numId w:val="104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Подсказки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 вводе — ранжирование по популярности и контексту;</w:t>
      </w:r>
    </w:p>
    <w:p>
      <w:pPr>
        <w:numPr>
          <w:ilvl w:val="0"/>
          <w:numId w:val="104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10 популярных запросов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показываются при пустой строке;</w:t>
      </w:r>
    </w:p>
    <w:p>
      <w:pPr>
        <w:numPr>
          <w:ilvl w:val="0"/>
          <w:numId w:val="104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Результаты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сгруппированы по категориям (Отели, Рестораны, Активности, Статьи и т. д.) с иконками, кратким описанием, переходом в карточку одним тапом.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4. Блок 1. Мега-приложение. CRM — режим «Владелец»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4.1.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CRM — второй режим того же приложения, доступный сотрудникам парка по переключению роли в профиле. Клиент и CRM делят одну кодовую базу и одну базу данных, но интерфейс перестраивается: вместо пяти клиентских вкладок — панель из 23 модулей управления, сгруппированных в 8 функциональных доменов.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Восемь функциональных доменов CRM: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924"/>
        <w:gridCol w:w="2223"/>
        <w:gridCol w:w="4053"/>
      </w:tblGrid>
      <w:tr>
        <w:trPr>
          <w:tblHeader w:val="true"/>
        </w:trP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Домен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Вкладок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Содержание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Воронка продаж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Лиды · Сделки · Задачи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Операции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Брони · Календарь · Заказы · Номерной фонд · Timeline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Финансы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Финансы · Оплаты · Экспорт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Разум гостя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Гости · Отзывы и NPS · Чат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Контент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Контент-база · Расписание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Персонал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Штат сотрудников · Партнёрский доступ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Рост и маркетинг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Рассылки · Цены · Заявки B2B</w:t>
            </w:r>
          </w:p>
        </w:tc>
      </w:tr>
      <w:tr>
        <w:tc>
          <w:tcPr>
            <w:tcW w:type="dxa" w:w="2924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Governance</w:t>
            </w:r>
          </w:p>
        </w:tc>
        <w:tc>
          <w:tcPr>
            <w:tcW w:type="dxa" w:w="222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405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Аналитика · Документы · Настройки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4.3. Реестр 23 обязательных модулей CRM: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138"/>
        <w:gridCol w:w="2460"/>
        <w:gridCol w:w="2373"/>
        <w:gridCol w:w="3229"/>
      </w:tblGrid>
      <w:tr>
        <w:trPr>
          <w:tblHeader w:val="true"/>
        </w:trP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№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Модуль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Домен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Функция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01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Dashboard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Governance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KPI, спарклайны, выручка, загрузка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02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Bookings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Операции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Брони, статусы, канбан, календарь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03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Reviews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Разум гостя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Модерация отзывов, NPS, ответы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04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Finance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Финансы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Доходы, расходы, план/факт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05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Staff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Персонал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Сотрудники, роли, KPI, смены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06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Deals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Воронка продаж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B2B и франшиза, канбан сделок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07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Leads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Воронка продаж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Заявки, квалификация, источники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08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Tasks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Воронка продаж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Канбан задач с приоритетами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09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Guests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Разум гостя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База гостей, сегментация, 360°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10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Rooms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Операции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Номерной фонд, занятость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11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Analytics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Governance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Когорты, воронки, LTV, retention, RFM-сегментация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12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Calendar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Операции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События парка, мастер-классы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13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Messages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Разум гостя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Мессенджер-центр, live-чат, push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14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Content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Контент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CMS: новости, статьи, FAQ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15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Pricing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Рост и маркетинг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Тарифы, динамическое ценообразование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16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Campaigns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Рост и маркетинг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Email, push, промо-акции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17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Inventory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Операции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Склад, мерч, расходники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18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AI Recommendations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Governance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Прогнозы цен, сегменты, офферы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19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Exports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Финансы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Excel, CSV, PDF — отчёты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20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Settings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Governance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Интеграции, API, RBAC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21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Promos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Рост и маркетинг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Акции, купоны, рефералы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22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Notifications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Контент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Шаблоны push и email, расписание</w:t>
            </w:r>
          </w:p>
        </w:tc>
      </w:tr>
      <w:tr>
        <w:tc>
          <w:tcPr>
            <w:tcW w:type="dxa" w:w="113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23</w:t>
            </w:r>
          </w:p>
        </w:tc>
        <w:tc>
          <w:tcPr>
            <w:tcW w:type="dxa" w:w="246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Audit</w:t>
            </w:r>
          </w:p>
        </w:tc>
        <w:tc>
          <w:tcPr>
            <w:tcW w:type="dxa" w:w="237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Governance</w:t>
            </w:r>
          </w:p>
        </w:tc>
        <w:tc>
          <w:tcPr>
            <w:tcW w:type="dxa" w:w="322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Журнал операций, логи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4.4. Требования к каждому модулю CRM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(общие):</w:t>
      </w:r>
    </w:p>
    <w:p>
      <w:pPr>
        <w:numPr>
          <w:ilvl w:val="0"/>
          <w:numId w:val="104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страница с заголовком, подзаголовком, ключевыми метриками сверху;</w:t>
      </w:r>
    </w:p>
    <w:p>
      <w:pPr>
        <w:numPr>
          <w:ilvl w:val="0"/>
          <w:numId w:val="104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таблица / канбан / календарь с возможностью фильтрации и сортировки;</w:t>
      </w:r>
    </w:p>
    <w:p>
      <w:pPr>
        <w:numPr>
          <w:ilvl w:val="0"/>
          <w:numId w:val="104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возможность inline-редактирования (без перехода на отдельную страницу);</w:t>
      </w:r>
    </w:p>
    <w:p>
      <w:pPr>
        <w:numPr>
          <w:ilvl w:val="0"/>
          <w:numId w:val="104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экспорт текущего среза в Excel / CSV / PDF одним нажатием;</w:t>
      </w:r>
    </w:p>
    <w:p>
      <w:pPr>
        <w:numPr>
          <w:ilvl w:val="0"/>
          <w:numId w:val="104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уважение текущей роли пользователя — нельзя увидеть то, что запрещено RLS-политикой БД.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4.5. Режим «Смотреть как роль».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настройках CRM — переключатель, позволяющий владельцу временно переключить интерфейс в вид любой другой роли (кассир, консьерж, ресторан-партнёр и т. п.) — для аудита прав, обучения сотрудников и проверки корректности RLS.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4.6. Партнёрский доступ.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CRM предусмотрен отдельный ограниченный вход для партнёров парка (рестораторы, операторы отелей, хозяева этнодворов, прокаты, СПА). Партнёр видит только свои заказы, чеки, отзывы и гостей; не имеет доступа к финансовым показателям парка в целом и к данным других партнёров. Пример: «8 заказов за вчера, 3 отзыва, 2 брони на ужин».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4.7. Система ролей (RBAC).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Минимум 5 ступеней доступа:</w:t>
      </w:r>
    </w:p>
    <w:p>
      <w:pPr>
        <w:numPr>
          <w:ilvl w:val="0"/>
          <w:numId w:val="104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Владелец — видит всё;</w:t>
      </w:r>
    </w:p>
    <w:p>
      <w:pPr>
        <w:numPr>
          <w:ilvl w:val="0"/>
          <w:numId w:val="104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Директор — видит всё, кроме конфиденциальных финансов по сотрудникам;</w:t>
      </w:r>
    </w:p>
    <w:p>
      <w:pPr>
        <w:numPr>
          <w:ilvl w:val="0"/>
          <w:numId w:val="104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Руководитель подразделения — видит свой домен;</w:t>
      </w:r>
    </w:p>
    <w:p>
      <w:pPr>
        <w:numPr>
          <w:ilvl w:val="0"/>
          <w:numId w:val="104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Сотрудник (кассир / консьерж / и т. п.) — видит только операции своего участка;</w:t>
      </w:r>
    </w:p>
    <w:p>
      <w:pPr>
        <w:numPr>
          <w:ilvl w:val="0"/>
          <w:numId w:val="104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Партнёр — видит только свой контур.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Минимум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23 роли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(по образцу справочника) с отдельными наборами прав.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5. Блок 1. Мега-приложение. Паспорт путешественника и геймификация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Сквозные требования, объединяющие модули М04, М05, М13 и систему лояльности.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5.1. Правила геймификации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описаны в разделе 3.5 (пп. Г, Д).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5.2. QR-экосистема на территории парка.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Физические QR-коды размещаются в парке для следующих сценариев: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открытие стран в коллекции Паспорта (один код у каждого павильона страны);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открытие регионов России (один код у каждого этнодвора региона);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подтверждение участия в мастер-классах;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предзаказ и ускоренное обслуживание в ресторанах;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заказ сервисов в номерах отелей;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сканирование билета на входе в парк;</w:t>
      </w:r>
    </w:p>
    <w:p>
      <w:pPr>
        <w:numPr>
          <w:ilvl w:val="0"/>
          <w:numId w:val="104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начисление баллов при оплате у партнёров.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Точное количество QR-кодов определяется в рабочем порядке и может изменяться по мере развития инфраструктуры парка без изменения Договора.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5.3. Кошелёк и история транзакций.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Все движения баллов записываются в таблицу транзакций с указанием: пользователь, тип операции (начисление / списание), сумма, источник, дата/время. История доступна пользователю в разделе «Кошелёк» Паспорта.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6. Блок 1. Мега-приложение. Дизайн-система iOS 26+ Liquid Glass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Дизайн-система приложения —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iOS 26+ Liquid Glass</w:t>
      </w:r>
      <w:r>
        <w:rPr>
          <w:rFonts w:ascii="SF Text" w:hAnsi="SF Text" w:cs="SF Text" w:eastAsia="SF Text"/>
          <w:color w:val="000000"/>
        </w:rPr>
        <w:t xml:space="preserve">, реализованная pixel-perfect по эталонам Apple для iOS 26+ на Web-стеке и кроссплатформенно.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6.2. Компоненты дизайн-системы.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Минимум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85 компонентов</w:t>
      </w:r>
      <w:r>
        <w:rPr>
          <w:rFonts w:ascii="SF Text" w:hAnsi="SF Text" w:cs="SF Text" w:eastAsia="SF Text"/>
          <w:color w:val="000000"/>
        </w:rPr>
        <w:t xml:space="preserve">, сгруппированных 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8 дизайн-паков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(тематических).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6.3. Liquid Glass — 6 слоёв эффекта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 каждой стеклянной поверхности:</w:t>
      </w:r>
    </w:p>
    <w:p>
      <w:pPr>
        <w:numPr>
          <w:ilvl w:val="0"/>
          <w:numId w:val="104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blur(40px);</w:t>
      </w:r>
    </w:p>
    <w:p>
      <w:pPr>
        <w:numPr>
          <w:ilvl w:val="0"/>
          <w:numId w:val="104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saturate(180%);</w:t>
      </w:r>
    </w:p>
    <w:p>
      <w:pPr>
        <w:numPr>
          <w:ilvl w:val="0"/>
          <w:numId w:val="104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border (1 px, полупрозрачный);</w:t>
      </w:r>
    </w:p>
    <w:p>
      <w:pPr>
        <w:numPr>
          <w:ilvl w:val="0"/>
          <w:numId w:val="104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specular highlight (верхний блик);</w:t>
      </w:r>
    </w:p>
    <w:p>
      <w:pPr>
        <w:numPr>
          <w:ilvl w:val="0"/>
          <w:numId w:val="104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inset shadow (внутренняя тень);</w:t>
      </w:r>
    </w:p>
    <w:p>
      <w:pPr>
        <w:numPr>
          <w:ilvl w:val="0"/>
          <w:numId w:val="104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drop shadow (внешняя тень).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Прозрачность — 20–52 % адаптивно в зависимости от фона.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6.4. Типографика:</w:t>
      </w:r>
    </w:p>
    <w:p>
      <w:pPr>
        <w:numPr>
          <w:ilvl w:val="0"/>
          <w:numId w:val="1050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единственный шрифт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SF Pro Display (и SF Pro Text для мелких размеров);</w:t>
      </w:r>
    </w:p>
    <w:p>
      <w:pPr>
        <w:numPr>
          <w:ilvl w:val="0"/>
          <w:numId w:val="105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34 pt bold — заголовки;</w:t>
      </w:r>
    </w:p>
    <w:p>
      <w:pPr>
        <w:numPr>
          <w:ilvl w:val="0"/>
          <w:numId w:val="105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17 pt regular — основной текст;</w:t>
      </w:r>
    </w:p>
    <w:p>
      <w:pPr>
        <w:numPr>
          <w:ilvl w:val="0"/>
          <w:numId w:val="105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13 pt regular — микро-копирайт;</w:t>
      </w:r>
    </w:p>
    <w:p>
      <w:pPr>
        <w:numPr>
          <w:ilvl w:val="0"/>
          <w:numId w:val="105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числовые и специальные символы — SF Mono для CRM-таблиц.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6.5. Цветовая палитра.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Минимально обязательная:</w:t>
      </w:r>
    </w:p>
    <w:p>
      <w:pPr>
        <w:numPr>
          <w:ilvl w:val="0"/>
          <w:numId w:val="105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label (основной текст): #000000;</w:t>
      </w:r>
    </w:p>
    <w:p>
      <w:pPr>
        <w:numPr>
          <w:ilvl w:val="0"/>
          <w:numId w:val="105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label2 (вторичный текст): rgba(60, 60, 67, 0.60);</w:t>
      </w:r>
    </w:p>
    <w:p>
      <w:pPr>
        <w:numPr>
          <w:ilvl w:val="0"/>
          <w:numId w:val="105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background primary: #F2F2F7;</w:t>
      </w:r>
    </w:p>
    <w:p>
      <w:pPr>
        <w:numPr>
          <w:ilvl w:val="0"/>
          <w:numId w:val="105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background secondary: #FFFFFF;</w:t>
      </w:r>
    </w:p>
    <w:p>
      <w:pPr>
        <w:numPr>
          <w:ilvl w:val="0"/>
          <w:numId w:val="105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accent blue: #007AFF;</w:t>
      </w:r>
    </w:p>
    <w:p>
      <w:pPr>
        <w:numPr>
          <w:ilvl w:val="0"/>
          <w:numId w:val="1051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system green, red, yellow, orange, purple, pink — по эталону iOS.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6.6. Радиусы:</w:t>
      </w:r>
    </w:p>
    <w:p>
      <w:pPr>
        <w:numPr>
          <w:ilvl w:val="0"/>
          <w:numId w:val="105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card: 20 pt;</w:t>
      </w:r>
    </w:p>
    <w:p>
      <w:pPr>
        <w:numPr>
          <w:ilvl w:val="0"/>
          <w:numId w:val="105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button: 14 pt;</w:t>
      </w:r>
    </w:p>
    <w:p>
      <w:pPr>
        <w:numPr>
          <w:ilvl w:val="0"/>
          <w:numId w:val="105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list cell: 16 pt;</w:t>
      </w:r>
    </w:p>
    <w:p>
      <w:pPr>
        <w:numPr>
          <w:ilvl w:val="0"/>
          <w:numId w:val="105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sheet (bottom sheet): 28 pt;</w:t>
      </w:r>
    </w:p>
    <w:p>
      <w:pPr>
        <w:numPr>
          <w:ilvl w:val="0"/>
          <w:numId w:val="1052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squircle icon: 13 pt.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6.7. Tab Bar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плавающий Liquid Glass в нижней части, radius 36 pt, 5 вкладок + центральная кнопка «Поиск».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6.8. SF Symbols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монохромные иконки Apple; filled-вариант для активного состояния (чёрный), outline — для неактивного (серый 60 %).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6.9. Touch feedback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только opacity-based (opacity 0.6 на нажатии); scale-анимаций не использовать (вызывают jitter).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6.10. Анимации:</w:t>
      </w:r>
    </w:p>
    <w:p>
      <w:pPr>
        <w:numPr>
          <w:ilvl w:val="0"/>
          <w:numId w:val="105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cubic-bezier(0.2, 0.8, 0.2, 1) — эталонная «упругая» кривая Apple;</w:t>
      </w:r>
    </w:p>
    <w:p>
      <w:pPr>
        <w:numPr>
          <w:ilvl w:val="0"/>
          <w:numId w:val="105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длительность перехода между экранами — 300–500 мс;</w:t>
      </w:r>
    </w:p>
    <w:p>
      <w:pPr>
        <w:numPr>
          <w:ilvl w:val="0"/>
          <w:numId w:val="1053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частота — 60 fps на современных устройствах.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6.11. Ethnomir Gradient v5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фирменный фоновый градиент:</w:t>
      </w:r>
    </w:p>
    <w:p>
      <w:pPr>
        <w:numPr>
          <w:ilvl w:val="0"/>
          <w:numId w:val="105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два канваса (A — основной z:0, B — overlay z:98);</w:t>
      </w:r>
    </w:p>
    <w:p>
      <w:pPr>
        <w:numPr>
          <w:ilvl w:val="0"/>
          <w:numId w:val="105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12 плавающих блобов в стиле Instagram;</w:t>
      </w:r>
    </w:p>
    <w:p>
      <w:pPr>
        <w:numPr>
          <w:ilvl w:val="0"/>
          <w:numId w:val="105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Canvas 2D рендер на 60 fps;</w:t>
      </w:r>
    </w:p>
    <w:p>
      <w:pPr>
        <w:numPr>
          <w:ilvl w:val="0"/>
          <w:numId w:val="105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IntersectionObserver для паузы анимации вне экрана.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6.12. AmbientFX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декоративный слой анимированных орбов на промо-баннерах: sheen-sweep, twinkle, ripple, drift particles.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7. Блок 1. Мега-приложение. Архитектура и технологический стек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7.1.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Приложение реализуется по трёхуровневой архитектуре «клиент — сервер приложений — база данных». Используются современные облачные технологии edge-native класса, обеспечивающие глобальное масштабирование и отсутствие необходимости в отдельном DevOps-контуре.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7.2.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Конкретный состав инструментов, приведённый ниже, является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ориентировочным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 момент заключения Договора и может быть адаптирован в ходе Работ по мере приближения к требованиям публикации в App Store и Google Play, актуальным отраслевым практикам и обстоятельствам проекта. Такая адаптация производится Исполнителем по своему профессиональному усмотрению и не является изменением объёма и целей Работ; оформления дополнительным соглашением не требует.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7.3. Ориентировочный стек: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Клиентский слой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современный JavaScript/TypeScript-фреймворк серверного рендеринга (например, Next.js / React), упаковка в мобильные контейнеры для iOS и Android, веб-версия как прогрессивное веб-приложение (PWA).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Рантайм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облачная edge-платформа с глобальной раздачей и автомасштабированием (например, Vercel или аналогичный сервис), serverless-функции для API.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Бэкенд и база данных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реляционная СУБД уровня PostgreSQL с системой безопасности на уровне строк (Row Level Security), предоставляемая как управляемый сервис (например, Supabase или аналогичный), вместе с файловым хранилищем и механизмом serverless-функций для бизнес-логики.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Платежи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платёжные сервисы, сертифицированные ЦБ РФ (например, ЮKassa, СБП).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Push-уведомления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единый межплатформенный сервис доставки (например, Firebase Cloud Messaging или аналогичный).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Аналитика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собственный аналитический слой на стороне БД плюс внешний сервис продуктовой аналитики (например, PostHog или аналогичный).</w:t>
      </w:r>
    </w:p>
    <w:p>
      <w:pPr>
        <w:numPr>
          <w:ilvl w:val="0"/>
          <w:numId w:val="1055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CI/CD и хостинг репозитория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приватный Git-репозиторий и платформа автоматического развёртывания, выбранные Исполнителем; доступы передаются Заказчику на Этапе 3.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7.4. Экономические характеристики стека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(обоснование выбора edge/serverless-архитектуры): оплата по факту обращений, автомасштабирование без простоев, единая модель данных для клиента и CRM, безопасность на уровне СУБД.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7.5. CI/CD и мониторинг.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Непрерывная интеграция и развёртывание с автоматической сборкой, предварительным развёртыванием (preview) перед публикацией, атомарным переключением на production без простоев и возможностью быстрого отката к предыдущей версии. Мониторинг состояния системы — в виде приборной панели с целевым показателем стабильности.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8. Блок 1. Мега-приложение. База данных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8.1.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База данных проекта построена на реляционной СУБД уровня PostgreSQL, предоставляемой в качестве управляемого сервиса. По окончании Работ управление базой данных передаётся Заказчику; конкретный сервис-провайдер и способ передачи определяются в рабочем порядке.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8.2. Ориентировочные количественные показатели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архитектуры БД на момент заключения Договора (приведены для понимания масштаба системы; конкретные значения на момент сдачи могут отличаться в большую или меньшую сторону в зависимости от эволюции архитектуры по ходу Работ):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5632"/>
        <w:gridCol w:w="3568"/>
      </w:tblGrid>
      <w:tr>
        <w:trPr>
          <w:tblHeader w:val="true"/>
        </w:trP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Параметр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Ориентир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Таблиц в схеме</w:t>
            </w:r>
            <w:r>
              <w:rPr>
                <w:rFonts w:ascii="SF Text" w:hAnsi="SF Text" w:cs="SF Text" w:eastAsia="SF Text"/>
                <w:color w:val="000000"/>
              </w:rPr>
              <w:t xml:space="preserve"> </w:t>
            </w:r>
            <w:r>
              <w:rPr>
                <w:rFonts w:ascii="SF Text" w:hAnsi="SF Text" w:cs="SF Text" w:eastAsia="SF Text"/>
                <w:rStyle w:val="VerbatimChar"/>
                <w:color w:val="000000"/>
              </w:rPr>
              <w:t xml:space="preserve">public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120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PL/pgSQL функций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140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RLS-политик безопасности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более 200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Триггеров автоматизации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100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Материализованных представлений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15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Расширений Postgres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9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Индексов для скорости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более 300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Триггеров sync CRM/Client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20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Serverless / Edge-функций серверной логики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100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Достижений в системе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около 30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Уровней лояльности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Стран в коллекции Паспорта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96</w:t>
            </w:r>
          </w:p>
        </w:tc>
      </w:tr>
      <w:tr>
        <w:tc>
          <w:tcPr>
            <w:tcW w:type="dxa" w:w="56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Регионов РФ в коллекции Паспорта</w:t>
            </w:r>
          </w:p>
        </w:tc>
        <w:tc>
          <w:tcPr>
            <w:tcW w:type="dxa" w:w="35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85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8.3. Бизнес-домены базы данных.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База структурирована по бизнес-доменам с префиксами, облегчающими навигацию и поддержку. Ориентировочный перечень доменов: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3768"/>
        <w:gridCol w:w="5432"/>
      </w:tblGrid>
      <w:tr>
        <w:trPr>
          <w:tblHeader w:val="true"/>
        </w:trP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Домен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Назначение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CRM-операции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Брони, сделки, лиды, задачи, гости, документы, уведомления, инвентарь, роли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Пользователи и авторизация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Профили, OTP-коды, провайдеры, лог баллов, транзакции кошелька, ограничители частоты запросов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Отели и бронирования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Отели, типы номеров, брони, состав брони, отзывы по отелям, промо отелей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Контент парка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Мастер-классы, события, услуги, статьи, туры, сведения о парке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Коммерция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Заказы, корзина, чеки, состав чеков, события по чекам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Рестораны и F&amp;B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Рестораны, позиции меню, позиции доставки, отзывы по ресторанам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Геймификация и Паспорт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Страны, регионы РФ, достижения, штампы Паспорта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Инфраструктура и карты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QR-коды, POI на карте, лендинги, секции лендингов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Операции и аудит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Журнал аудита, журнал администрирования, разрешения администраторов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Вовлечение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Отзывы, сообщения чата</w:t>
            </w:r>
          </w:p>
        </w:tc>
      </w:tr>
      <w:tr>
        <w:tc>
          <w:tcPr>
            <w:tcW w:type="dxa" w:w="376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Справочники и прочее</w:t>
            </w:r>
          </w:p>
        </w:tc>
        <w:tc>
          <w:tcPr>
            <w:tcW w:type="dxa" w:w="543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Подарочные сертификаты, уровни лояльности, промо-коды, push-подписки и токены, уведомления, промо и промо-баннеры, типы билетов, B2B-программы, расписание, FAQ, избранное, элементы наследия, юридические документы, история входов, партнёрство, недвижимость, сотрудники, истории, значки пользователей, коллекции пользователей, настройки пользователя, тематические недели и другие.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Перечень и конкретный состав таблиц — ориентировочные и могут уточняться по ходу Работ.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9. Блок 1. Мега-приложение. Безопасность, приватность, compliance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9.1. Соответствие 152-ФЗ «О персональных данных»:</w:t>
      </w:r>
    </w:p>
    <w:p>
      <w:pPr>
        <w:numPr>
          <w:ilvl w:val="0"/>
          <w:numId w:val="105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явное согласие пользователя на обработку ПДн при регистрации (с указанием версии документа, даты, IP, устройства — хранится в таблице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consents</w:t>
      </w:r>
      <w:r>
        <w:rPr>
          <w:rFonts w:ascii="SF Text" w:hAnsi="SF Text" w:cs="SF Text" w:eastAsia="SF Text"/>
          <w:color w:val="000000"/>
        </w:rPr>
        <w:t xml:space="preserve">);</w:t>
      </w:r>
    </w:p>
    <w:p>
      <w:pPr>
        <w:numPr>
          <w:ilvl w:val="0"/>
          <w:numId w:val="105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хранение ПДн на серверах, соответствующих требованиям 152-ФЗ (на момент запуска — в соответствии с актуальными практиками; при требовании — перенос на РФ-серверы по отдельному соглашению);</w:t>
      </w:r>
    </w:p>
    <w:p>
      <w:pPr>
        <w:numPr>
          <w:ilvl w:val="0"/>
          <w:numId w:val="105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возможность отзыва согласия через настройки Паспорта с автоматической анонимизацией данных в связанных таблицах;</w:t>
      </w:r>
    </w:p>
    <w:p>
      <w:pPr>
        <w:numPr>
          <w:ilvl w:val="0"/>
          <w:numId w:val="1056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журнал действий с ПДн — в отдельной таблице аудита.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9.2. Row Level Security (RLS)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политики безопасности на уровне СУБД, проверяющие каждое обращение к данным в зависимости от роли пользователя. Распределение политик по типам операций (чтение, запись, обновление, удаление, общие политики на все операции) реализуется в объёме, достаточном для обеспечения перечисленных выше ролей и ограничения доступа в соответствии с этими ролями.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9.3. HMAC-подпись чеков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каждый чек и QR-код криптографически подписан; ключ хранится 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Vercel encrypted env</w:t>
      </w:r>
      <w:r>
        <w:rPr>
          <w:rFonts w:ascii="SF Text" w:hAnsi="SF Text" w:cs="SF Text" w:eastAsia="SF Text"/>
          <w:color w:val="000000"/>
        </w:rPr>
        <w:t xml:space="preserve">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9.4. OTP-авторизация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вход по одноразовому коду (SMS или e-mail), без паролей. Rate-limiting для защиты от перебора.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9.5. Шифрование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весь трафик по HTTPS с TLS 1.2+; секреты хранятся в защищённом хранилище переменных окружения облачной платформы и не попадают в репозиторий исходного кода.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9.6. OWASP-стандарты:</w:t>
      </w:r>
    </w:p>
    <w:p>
      <w:pPr>
        <w:numPr>
          <w:ilvl w:val="0"/>
          <w:numId w:val="105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защита от SQL-инъекций (параметризованные запросы, ORM);</w:t>
      </w:r>
    </w:p>
    <w:p>
      <w:pPr>
        <w:numPr>
          <w:ilvl w:val="0"/>
          <w:numId w:val="105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защита от XSS (escape пользовательского ввода);</w:t>
      </w:r>
    </w:p>
    <w:p>
      <w:pPr>
        <w:numPr>
          <w:ilvl w:val="0"/>
          <w:numId w:val="105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защита от CSRF (токены);</w:t>
      </w:r>
    </w:p>
    <w:p>
      <w:pPr>
        <w:numPr>
          <w:ilvl w:val="0"/>
          <w:numId w:val="105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защита от brute-force (rate-limiting);</w:t>
      </w:r>
    </w:p>
    <w:p>
      <w:pPr>
        <w:numPr>
          <w:ilvl w:val="0"/>
          <w:numId w:val="1057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регулярный аудит зависимостей на известные уязвимости.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9.7. Юридический контур — 10 обязательных документов в приложении: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433"/>
        <w:gridCol w:w="3645"/>
        <w:gridCol w:w="4122"/>
      </w:tblGrid>
      <w:tr>
        <w:trPr>
          <w:tblHeader w:val="true"/>
        </w:trP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№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Документ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Назначение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Пользовательское соглашение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Условия использования приложения гостем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2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Политика конфиденциальности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Обработка и защита персональных данных (152-ФЗ)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3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Согласие на обработку ПДн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Явное согласие с аудитом действий и правом отзыва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4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Публичная оферта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Договор на услуги бронирования и покупки билетов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5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Политика возврата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Правила отмены бронирований и возврата средств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6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Политика cookies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Работа с cookies и web-трекингом на промо-сайте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7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Лицензионное соглашение (EULA)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Обязательно для публикации в App Store и Google Play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8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Правила программы лояльности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Начисление, списание и сгорание баллов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9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Правила совершения заказов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Сценарии отказа, повторной оплаты, квитанции</w:t>
            </w:r>
          </w:p>
        </w:tc>
      </w:tr>
      <w:tr>
        <w:tc>
          <w:tcPr>
            <w:tcW w:type="dxa" w:w="143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10</w:t>
            </w:r>
          </w:p>
        </w:tc>
        <w:tc>
          <w:tcPr>
            <w:tcW w:type="dxa" w:w="3645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Правила использования промокодов</w:t>
            </w:r>
          </w:p>
        </w:tc>
        <w:tc>
          <w:tcPr>
            <w:tcW w:type="dxa" w:w="41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Активация, лимиты, сочетаемость со скидками</w:t>
            </w:r>
          </w:p>
        </w:tc>
      </w:tr>
    </w:tbl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Содержание каждого документа предоставляется Заказчиком (или согласуется с юристом Заказчика) до Этапа 3; Исполнитель готовит правильные шаблоны и интегрирует их в приложение.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10. Блок 1. Мега-приложение. Публикация в магазинах приложений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10.1.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 Этапе 3 (запуск пилотной версии) Исполнитель публикует ПО в магазинах приложений от имени Заказчика.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10.2. App Store (Apple):</w:t>
      </w:r>
    </w:p>
    <w:p>
      <w:pPr>
        <w:numPr>
          <w:ilvl w:val="0"/>
          <w:numId w:val="105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упаковка iOS-версии в совместимый контейнер;</w:t>
      </w:r>
    </w:p>
    <w:p>
      <w:pPr>
        <w:numPr>
          <w:ilvl w:val="0"/>
          <w:numId w:val="105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создание иконок, сплеш-экранов, скриншотов для всех поддерживаемых размеров iPhone;</w:t>
      </w:r>
    </w:p>
    <w:p>
      <w:pPr>
        <w:numPr>
          <w:ilvl w:val="0"/>
          <w:numId w:val="105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подготовка метаданных (название, описание на русском, ключевые слова, категория, возрастной рейтинг);</w:t>
      </w:r>
    </w:p>
    <w:p>
      <w:pPr>
        <w:numPr>
          <w:ilvl w:val="0"/>
          <w:numId w:val="105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загрузка сборки через App Store Connect;</w:t>
      </w:r>
    </w:p>
    <w:p>
      <w:pPr>
        <w:numPr>
          <w:ilvl w:val="0"/>
          <w:numId w:val="105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сопровождение процесса модерации Apple (ответы на замечания, при необходимости — доработки);</w:t>
      </w:r>
    </w:p>
    <w:p>
      <w:pPr>
        <w:numPr>
          <w:ilvl w:val="0"/>
          <w:numId w:val="1058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цель — получение одобрения и публикация в течение Этапа 3.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10.3. Google Play (Google):</w:t>
      </w:r>
    </w:p>
    <w:p>
      <w:pPr>
        <w:numPr>
          <w:ilvl w:val="0"/>
          <w:numId w:val="105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упаковка Android-версии в APK / AAB;</w:t>
      </w:r>
    </w:p>
    <w:p>
      <w:pPr>
        <w:numPr>
          <w:ilvl w:val="0"/>
          <w:numId w:val="105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иконки, сплеш-экраны, скриншоты для Android;</w:t>
      </w:r>
    </w:p>
    <w:p>
      <w:pPr>
        <w:numPr>
          <w:ilvl w:val="0"/>
          <w:numId w:val="105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метаданные, возрастной рейтинг по IARC;</w:t>
      </w:r>
    </w:p>
    <w:p>
      <w:pPr>
        <w:numPr>
          <w:ilvl w:val="0"/>
          <w:numId w:val="105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загрузка через Google Play Console;</w:t>
      </w:r>
    </w:p>
    <w:p>
      <w:pPr>
        <w:numPr>
          <w:ilvl w:val="0"/>
          <w:numId w:val="105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сопровождение модерации;</w:t>
      </w:r>
    </w:p>
    <w:p>
      <w:pPr>
        <w:numPr>
          <w:ilvl w:val="0"/>
          <w:numId w:val="1059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цель — публикация в течение Этапа 3.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10.4. Учётные записи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Apple Developer и Google Play Console — регистрирует Заказчик на ООО «ЭТНО-ДЕРЕВНЯ» (п. 6.2.5 Договора); годовые взносы оплачивает Заказчик (п. 3.6 Договора).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10.5. Web:</w:t>
      </w:r>
    </w:p>
    <w:p>
      <w:pPr>
        <w:numPr>
          <w:ilvl w:val="0"/>
          <w:numId w:val="106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публикация клиентской версии на домене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ethnomir.app</w:t>
      </w:r>
      <w:r>
        <w:rPr>
          <w:rFonts w:ascii="SF Text" w:hAnsi="SF Text" w:cs="SF Text" w:eastAsia="SF Text"/>
          <w:color w:val="000000"/>
        </w:rPr>
        <w:t xml:space="preserve">;</w:t>
      </w:r>
    </w:p>
    <w:p>
      <w:pPr>
        <w:numPr>
          <w:ilvl w:val="0"/>
          <w:numId w:val="106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публикация ре-упакованной версии на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ethnomir.ru</w:t>
      </w:r>
      <w:r>
        <w:rPr>
          <w:rFonts w:ascii="SF Text" w:hAnsi="SF Text" w:cs="SF Text" w:eastAsia="SF Text"/>
          <w:color w:val="000000"/>
        </w:rPr>
        <w:t xml:space="preserve">;</w:t>
      </w:r>
    </w:p>
    <w:p>
      <w:pPr>
        <w:numPr>
          <w:ilvl w:val="0"/>
          <w:numId w:val="106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SEO-оптимизация (structured data, Open Graph, Яндекс.Метрика, Google Analytics);</w:t>
      </w:r>
    </w:p>
    <w:p>
      <w:pPr>
        <w:numPr>
          <w:ilvl w:val="0"/>
          <w:numId w:val="1060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поддержка ru/en (если успевают к запуску — иначе только ru).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11. Блок 2. Ре-упаковка сайта ethnomir.ru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11.1.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Ре-упаковка публичного сайта парка — разработка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4 групп лендингов под 4 целевые аудитории</w:t>
      </w:r>
      <w:r>
        <w:rPr>
          <w:rFonts w:ascii="SF Text" w:hAnsi="SF Text" w:cs="SF Text" w:eastAsia="SF Text"/>
          <w:color w:val="000000"/>
        </w:rPr>
        <w:t xml:space="preserve">. Каждая группа представляет собой набор посадочных страниц с собственным CTA, ведущим в Приложение или в форму заявки, привязанную к модулю CRM «Лиды». Наполнение лендингов (тексты, фото, видео, конкретный состав блоков) согласовывается и предоставляется Заказчиком в рабочем порядке; Исполнитель обеспечивает техническую реализацию, адаптивную вёрстку, SEO-обвязку и интеграцию форм с CRM.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11.2. Группа 1 — Этномир Парк.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Аудитория: потенциальные гости парка.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CTA: переход в Приложение во вкладку «Билеты».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11.3. Группа 2 — Этномир Гостиницы.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Аудитория: гости, выбирающие размещение на несколько дней.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CTA: переход в Приложение во вкладку «Жильё».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11.4. Группа 3 — Этномир Застройщик.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Аудитория: частные инвесторы, потенциальные покупатели недвижимости рядом с парком.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CTA: форма заявки с передачей в модуль CRM «Лиды» с пометкой «Застройщик».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11.5. Группа 4 — Этномир Партнёры.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Аудитория: рестораторы, операторы, франчайзи, корпоративные клиенты.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CTA: форма заявки с передачей в модуль CRM «Лиды» с пометкой «Партнёр».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11.6. Промо-сайт ethnomir.app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отдельная посадочная страница на домене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rStyle w:val="VerbatimChar"/>
          <w:color w:val="000000"/>
        </w:rPr>
        <w:t xml:space="preserve">ethnomir.app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 представлением мобильного приложения и CTA на установку из App Store и Google Play. Наполнение — согласовывается и предоставляется Заказчиком в рабочем порядке.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12. Блок 3. Ре-брендинг Этномира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12.1.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Аккуратная доработка элементов бренда в ключе 2026 года — эволюция, не революция. Должны быть сохранены узнаваемость, ДНК бренда и исторические ассоциации.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12.2. Осязаемые результаты:</w:t>
      </w:r>
    </w:p>
    <w:p>
      <w:pPr>
        <w:numPr>
          <w:ilvl w:val="0"/>
          <w:numId w:val="106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Знак / логотип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обновлённая версия в ≥ 3 вариациях (основной, монохромный, для мелких размеров);</w:t>
      </w:r>
    </w:p>
    <w:p>
      <w:pPr>
        <w:numPr>
          <w:ilvl w:val="0"/>
          <w:numId w:val="106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Слоган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предложение 3–5 вариантов слогана на русском языке, выбор Заказчика;</w:t>
      </w:r>
    </w:p>
    <w:p>
      <w:pPr>
        <w:numPr>
          <w:ilvl w:val="0"/>
          <w:numId w:val="106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Позиционирование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документ-манифест (1–2 страницы) с ключевыми сообщениями для четырёх аудиторий;</w:t>
      </w:r>
    </w:p>
    <w:p>
      <w:pPr>
        <w:numPr>
          <w:ilvl w:val="0"/>
          <w:numId w:val="106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Цветовая палитра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согласование основной и вторичной палитр (совместимых с дизайн-системой iOS 26+ в Приложении);</w:t>
      </w:r>
    </w:p>
    <w:p>
      <w:pPr>
        <w:numPr>
          <w:ilvl w:val="0"/>
          <w:numId w:val="106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Гайдлайны применения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brand book на 10–20 страниц: логотип, типографика, цвета, охранное поле, примеры использования в типовых носителях (баннер, документ, сувенирная продукция, вывеска);</w:t>
      </w:r>
    </w:p>
    <w:p>
      <w:pPr>
        <w:numPr>
          <w:ilvl w:val="0"/>
          <w:numId w:val="1061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Шаблоны носителей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не менее 5: визитка, бланк письма, презентация PowerPoint / Keynote, e-mail-подпись, социальные сети.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12.3.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Все элементы предоставляются в редактируемых форматах (SVG, AI, PSD, PPTX) и в готовых PNG / PDF высокого разрешения.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13. Блок 4. Продуктовая линейка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13.1.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Систематизация туристической продуктовой линейки Этномира по трём принципам:</w:t>
      </w:r>
    </w:p>
    <w:p>
      <w:pPr>
        <w:numPr>
          <w:ilvl w:val="0"/>
          <w:numId w:val="106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понятность (ЦКП)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каждый продукт ясно описан, понятна цена, длительность, аудитория;</w:t>
      </w:r>
    </w:p>
    <w:p>
      <w:pPr>
        <w:numPr>
          <w:ilvl w:val="0"/>
          <w:numId w:val="106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непрерывность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продукты выстраиваются в линейку «знакомство → погружение»;</w:t>
      </w:r>
    </w:p>
    <w:p>
      <w:pPr>
        <w:numPr>
          <w:ilvl w:val="0"/>
          <w:numId w:val="1062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увеличение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продукты дополняющие, не конкурирующие; растёт чек и частота повторных визитов.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13.2. Осязаемые результаты:</w:t>
      </w:r>
    </w:p>
    <w:p>
      <w:pPr>
        <w:numPr>
          <w:ilvl w:val="0"/>
          <w:numId w:val="106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Карта продуктов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визуальная диаграмма / таблица минимум 20 ключевых продуктов парка (билеты, туры, отели, мастер-классы, события, сертификаты, корпоративы, школы и т. д.) с параметрами каждого (ЦКП, аудитория, длительность, цена, точка входа в Приложение);</w:t>
      </w:r>
    </w:p>
    <w:p>
      <w:pPr>
        <w:numPr>
          <w:ilvl w:val="0"/>
          <w:numId w:val="106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Сценарии потребления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5–7 типовых пользовательских сценариев («выходные с семьёй», «корпоративный MICE», «индивидуальное погружение на неделю», «школьный выезд», «инвестор на разведку» и др.) — путь гостя от первого касания до повторного визита;</w:t>
      </w:r>
    </w:p>
    <w:p>
      <w:pPr>
        <w:numPr>
          <w:ilvl w:val="0"/>
          <w:numId w:val="106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Правила продаж внутри Приложения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документ, описывающий как продукты подсвечиваются и рекомендуются в разных модулях Приложения, как связаны кросс-продажи (пример: бронь отеля → рекомендация мастер-класса на эти даты);</w:t>
      </w:r>
    </w:p>
    <w:p>
      <w:pPr>
        <w:numPr>
          <w:ilvl w:val="0"/>
          <w:numId w:val="1063"/>
        </w:numPr>
        <w:pStyle w:val="Compact"/>
      </w:pPr>
      <w:r>
        <w:rPr>
          <w:rFonts w:ascii="SF Text" w:hAnsi="SF Text" w:cs="SF Text" w:eastAsia="SF Text"/>
          <w:bCs/>
          <w:b/>
          <w:color w:val="000000"/>
        </w:rPr>
        <w:t xml:space="preserve">Ценовая методология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принципы установления тарифов (будни / выходные / праздники / сезоны), скидок, бонусов, бандл-предложений.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14. Критерии приёмки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14.1. Общие критерии.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Результат Работ принимается при одновременном выполнении следующих условий: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все минимально обязательные показатели из разделов 2–13 выполнены;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приложение опубликовано в App Store и Google Play и доступно для установки;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веб-версия доступна на ethnomir.app и в соответствующих разделах ethnomir.ru;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CRM настроена и используется сотрудниками парка;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на момент приёмки Этапа 3 инфраструктурный мониторинг показывает стабильное состояние системы; развёрнутая production-версия доступна и функциональна;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критичных дефектов нет (п. 1.11 Договора);</w:t>
      </w:r>
    </w:p>
    <w:p>
      <w:pPr>
        <w:numPr>
          <w:ilvl w:val="0"/>
          <w:numId w:val="1064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переданы учётные записи и документация.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14.2. Формальные критерии по модулям:</w:t>
      </w:r>
    </w:p>
    <w:p>
      <w:pPr>
        <w:numPr>
          <w:ilvl w:val="0"/>
          <w:numId w:val="106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для каждого из 14 клиентских модулей — все перечисленные в разделе 3 экраны и суб-разделы доступны пользователю и функциональны;</w:t>
      </w:r>
    </w:p>
    <w:p>
      <w:pPr>
        <w:numPr>
          <w:ilvl w:val="0"/>
          <w:numId w:val="106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для каждого из 23 модулей CRM (раздел 4.3) — соответствующая вкладка CRM отображается, наполнена данными, позволяет выполнять заявленные операции;</w:t>
      </w:r>
    </w:p>
    <w:p>
      <w:pPr>
        <w:numPr>
          <w:ilvl w:val="0"/>
          <w:numId w:val="106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для каждого из 22 лендингов «Этномир-хаба» (раздел 3.8) — лендинг опубликован и доступен пользователю, имеет собственный CTA; содержательное наполнение принимается при условии использования материалов, предоставленных Заказчиком;</w:t>
      </w:r>
    </w:p>
    <w:p>
      <w:pPr>
        <w:numPr>
          <w:ilvl w:val="0"/>
          <w:numId w:val="1065"/>
        </w:numPr>
        <w:pStyle w:val="Compact"/>
      </w:pPr>
      <w:r>
        <w:rPr>
          <w:rFonts w:ascii="SF Text" w:hAnsi="SF Text" w:cs="SF Text" w:eastAsia="SF Text"/>
          <w:color w:val="000000"/>
        </w:rPr>
        <w:t xml:space="preserve">для 4 групп лендингов ethnomir.ru (раздел 11) — каждая группа содержит минимум один лендинг, соответствует описанию целевой аудитории, имеет CTA, интегрирована с CRM (для форм заявок).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14.3. Приёмка Блоков 2, 3, 4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— производится в рамках Этапа 3 одновременно с приёмкой Блока 1, по соответствующим разделам этого ТЗ.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14.4.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Заказчик вправе провести независимый технический аудит результата Работ силами сторонних экспертов (до подписания Акта по Этапу 3) — оплачивается Заказчиком самостоятельно. Замечания такого аудита рассматриваются по процедуре мотивированного отказа (раздел 5 Договора).</w:t>
      </w:r>
    </w:p>
    <w:p>
      <w:r>
        <w:rPr>
          <w:rFonts w:ascii="SF Text" w:hAnsi="SF Text" w:cs="SF Text" w:eastAsia="SF Text"/>
          <w:color w:val="000000"/>
        </w:rPr>
        <w:br w:type="page"/>
      </w:r>
    </w:p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ПРИЛОЖЕНИЕ № 2 К ДОГОВОРУ № 04-05/2026</w:t>
      </w:r>
    </w:p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КАЛЕНДАРНЫЙ ПЛАН РАБОТ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Общая схема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087"/>
        <w:gridCol w:w="2230"/>
        <w:gridCol w:w="4883"/>
      </w:tblGrid>
      <w:tr>
        <w:trPr>
          <w:tblHeader w:val="true"/>
        </w:trP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Месяц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Ключевые работы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М1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1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Discovery: уточнение требований, детализация макетов, начало усовершенствования UX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М2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1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Развитие MVP: доработка клиентского контура, интеграция новых сценариев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М3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1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CRM: доработка 23 модулей, тестирование ролей и RLS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М4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1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Интеграции: платежи, push, SMS, OAuth, аналитика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М5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1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Контент, безопасность, подготовка к магазинам приложений, внутреннее QA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М6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2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Внедрение на территории парка: обучение персонала, настройка CRM, сбор фактической информации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М7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3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Запуск: публикация в App Store / Google Play, web-запуск, мониторинг</w:t>
            </w:r>
          </w:p>
        </w:tc>
      </w:tr>
      <w:tr>
        <w:tc>
          <w:tcPr>
            <w:tcW w:type="dxa" w:w="2087"/>
          </w:tcPr>
          <w:p>
            <w:pPr>
              <w:jc w:val="left"/>
            </w:pPr>
            <w:r>
              <w:rPr>
                <w:rFonts w:ascii="SF Text" w:hAnsi="SF Text" w:cs="SF Text" w:eastAsia="SF Text"/>
                <w:bCs/>
                <w:b/>
                <w:color w:val="000000"/>
              </w:rPr>
              <w:t xml:space="preserve">М7–М9</w:t>
            </w:r>
          </w:p>
        </w:tc>
        <w:tc>
          <w:tcPr>
            <w:tcW w:type="dxa" w:w="223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Этап 4</w:t>
            </w:r>
          </w:p>
        </w:tc>
        <w:tc>
          <w:tcPr>
            <w:tcW w:type="dxa" w:w="4883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Бесплатное сопровождение — 3 месяца с даты подписания Акта по Этапу 3</w:t>
            </w:r>
          </w:p>
        </w:tc>
      </w:tr>
    </w:tbl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Ключевые вехи (Milestones)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1621"/>
        <w:gridCol w:w="3520"/>
        <w:gridCol w:w="4059"/>
      </w:tblGrid>
      <w:tr>
        <w:trPr>
          <w:tblHeader w:val="true"/>
        </w:trP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Веха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Ориентировочная дата (относительно Даты старта)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Событие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V0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Дата старта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Подписание Договора, поступление аванса 50 %, старт Этапа 1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V1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М1 + 2 нед.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Утверждение детальной карты экранов и окончательного объёма Блоков 2–4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V2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М3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Внутренний демо-обзор прогресса Этапа 1 с Заказчиком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V3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М5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Готовность приложения к внедрению; сборки для App Store и Google Play готовы к загрузке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V4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М6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Подписание Акта по Этапу 2; оплата 25 %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V5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М6 + 1 нед.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Загрузка в магазины приложений и старт модерации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V6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М7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Публикация в магазинах; подписание Акта по Этапу 3; оплата 25 %; старт Этапа 4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V7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М7 + 3 мес.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Окончание Этапа 4 (бесплатное сопровождение)</w:t>
            </w:r>
          </w:p>
        </w:tc>
      </w:tr>
      <w:tr>
        <w:tc>
          <w:tcPr>
            <w:tcW w:type="dxa" w:w="1621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V8</w:t>
            </w:r>
          </w:p>
        </w:tc>
        <w:tc>
          <w:tcPr>
            <w:tcW w:type="dxa" w:w="35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М7 + 12 мес.</w:t>
            </w:r>
          </w:p>
        </w:tc>
        <w:tc>
          <w:tcPr>
            <w:tcW w:type="dxa" w:w="4059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Окончание гарантийного срока</w:t>
            </w:r>
          </w:p>
        </w:tc>
      </w:tr>
    </w:tbl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Регулярные мероприятия</w:t>
      </w:r>
    </w:p>
    <w:tbl>
      <w:tblPr>
        <w:tblLook w:firstRow="1" w:lastRow="0" w:firstColumn="0" w:lastColumn="0" w:noHBand="0" w:noVBand="0" w:val="0020"/>
        <w:jc w:val="start"/>
        <w:tblW w:type="dxa" w:w="9200"/>
        <w:tblLayout w:type="fixed"/>
        <w:tblBorders>
          <w:top w:val="single" w:sz="4" w:space="0" w:color="888888"/>
          <w:left w:val="single" w:sz="4" w:space="0" w:color="888888"/>
          <w:bottom w:val="single" w:sz="4" w:space="0" w:color="888888"/>
          <w:right w:val="single" w:sz="4" w:space="0" w:color="888888"/>
          <w:insideH w:val="single" w:sz="4" w:space="0" w:color="888888"/>
          <w:insideV w:val="single" w:sz="4" w:space="0" w:color="888888"/>
        </w:tblBorders>
      </w:tblPr>
      <w:tblGrid>
        <w:gridCol w:w="2858"/>
        <w:gridCol w:w="3320"/>
        <w:gridCol w:w="3022"/>
      </w:tblGrid>
      <w:tr>
        <w:trPr>
          <w:tblHeader w:val="true"/>
        </w:trPr>
        <w:tc>
          <w:tcPr>
            <w:tcW w:type="dxa" w:w="285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Формат</w:t>
            </w:r>
          </w:p>
        </w:tc>
        <w:tc>
          <w:tcPr>
            <w:tcW w:type="dxa" w:w="33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Частота</w:t>
            </w:r>
          </w:p>
        </w:tc>
        <w:tc>
          <w:tcPr>
            <w:tcW w:type="dxa" w:w="30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Участники</w:t>
            </w:r>
          </w:p>
        </w:tc>
      </w:tr>
      <w:tr>
        <w:tc>
          <w:tcPr>
            <w:tcW w:type="dxa" w:w="285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Статус-митинг (онлайн, 30 мин)</w:t>
            </w:r>
          </w:p>
        </w:tc>
        <w:tc>
          <w:tcPr>
            <w:tcW w:type="dxa" w:w="33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 раз в 2 недели на Этапе 1, еженедельно на Этапах 2–4</w:t>
            </w:r>
          </w:p>
        </w:tc>
        <w:tc>
          <w:tcPr>
            <w:tcW w:type="dxa" w:w="30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Представители Заказчика и Исполнителя</w:t>
            </w:r>
          </w:p>
        </w:tc>
      </w:tr>
      <w:tr>
        <w:tc>
          <w:tcPr>
            <w:tcW w:type="dxa" w:w="285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Отчёт о прогрессе (письменно)</w:t>
            </w:r>
          </w:p>
        </w:tc>
        <w:tc>
          <w:tcPr>
            <w:tcW w:type="dxa" w:w="33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1 раз в 2 недели</w:t>
            </w:r>
          </w:p>
        </w:tc>
        <w:tc>
          <w:tcPr>
            <w:tcW w:type="dxa" w:w="30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Исполнитель → Заказчик</w:t>
            </w:r>
          </w:p>
        </w:tc>
      </w:tr>
      <w:tr>
        <w:tc>
          <w:tcPr>
            <w:tcW w:type="dxa" w:w="285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Демо (онлайн, 60 мин)</w:t>
            </w:r>
          </w:p>
        </w:tc>
        <w:tc>
          <w:tcPr>
            <w:tcW w:type="dxa" w:w="33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По вехам V2, V3, V4, V6</w:t>
            </w:r>
          </w:p>
        </w:tc>
        <w:tc>
          <w:tcPr>
            <w:tcW w:type="dxa" w:w="30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Обе стороны</w:t>
            </w:r>
          </w:p>
        </w:tc>
      </w:tr>
      <w:tr>
        <w:tc>
          <w:tcPr>
            <w:tcW w:type="dxa" w:w="2858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Визит на территорию парка</w:t>
            </w:r>
          </w:p>
        </w:tc>
        <w:tc>
          <w:tcPr>
            <w:tcW w:type="dxa" w:w="3320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М6 + по необходимости</w:t>
            </w:r>
          </w:p>
        </w:tc>
        <w:tc>
          <w:tcPr>
            <w:tcW w:type="dxa" w:w="3022"/>
          </w:tcPr>
          <w:p>
            <w:pPr>
              <w:jc w:val="left"/>
            </w:pPr>
            <w:r>
              <w:rPr>
                <w:rFonts w:ascii="SF Text" w:hAnsi="SF Text" w:cs="SF Text" w:eastAsia="SF Text"/>
                <w:color w:val="000000"/>
              </w:rPr>
              <w:t xml:space="preserve">Представитель Исполнителя</w:t>
            </w:r>
          </w:p>
        </w:tc>
      </w:tr>
    </w:tbl>
    <w:p>
      <w:r>
        <w:rPr>
          <w:rFonts w:ascii="SF Text" w:hAnsi="SF Text" w:cs="SF Text" w:eastAsia="SF Text"/>
          <w:color w:val="000000"/>
        </w:rPr>
        <w:br w:type="page"/>
      </w:r>
    </w:p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ПРИЛОЖЕНИЕ № 3 К ДОГОВОРУ № 04-05/2026</w:t>
      </w:r>
    </w:p>
    <w:p>
      <w:pPr>
        <w:pStyle w:val="Heading1"/>
      </w:pPr>
      <w:r>
        <w:rPr>
          <w:rFonts w:ascii="SF Display" w:hAnsi="SF Display" w:cs="SF Display" w:eastAsia="SF Display"/>
          <w:color w:val="000000"/>
        </w:rPr>
        <w:t xml:space="preserve">ФОРМА АКТА СДАЧИ-ПРИЁМКИ ВЫПОЛНЕННЫХ РАБОТ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АКТ</w:t>
      </w:r>
    </w:p>
    <w:p>
      <w:pPr>
        <w:pStyle w:val="Heading2"/>
      </w:pPr>
      <w:r>
        <w:rPr>
          <w:rFonts w:ascii="SF Display" w:hAnsi="SF Display" w:cs="SF Display" w:eastAsia="SF Display"/>
          <w:color w:val="000000"/>
        </w:rPr>
        <w:t xml:space="preserve">сдачи-приёмки выполненных работ № ___ по Договору № 04-05/2026 от «____» ___________ 2026 г.</w: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г. Москва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«____» _____________ 20____ г.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Исполнитель: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[реквизиты Исполнителя из раздела 17 Договора], именуемый в дальнейшем «Исполнитель», в лице [ФИО подписанта], действующего на основании [основание], с одной стороны,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и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Заказчик: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Общество с ограниченной ответственностью «ЭТНО-ДЕРЕВНЯ», ИНН 4003016479, ОГРН 1054002536565, именуемое в дальнейшем «Заказчик», в лице управляющего — ИП Черновой С. А., действующей на основании Договора о передаче полномочий единоличного исполнительного органа № 01/24/ЭД/ПП от 29.08.2024 г., с другой стороны,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составили настоящий Акт о нижеследующем.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1.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В соответствии с условиями Договора № 04-05/2026 от «</w:t>
      </w:r>
      <w:r>
        <w:rPr>
          <w:rFonts w:ascii="SF Text" w:hAnsi="SF Text" w:cs="SF Text" w:eastAsia="SF Text"/>
          <w:iCs/>
          <w:i/>
          <w:bCs/>
          <w:b/>
          <w:color w:val="000000"/>
        </w:rPr>
        <w:t xml:space="preserve">»</w:t>
      </w:r>
      <w:r>
        <w:rPr>
          <w:rFonts w:ascii="SF Text" w:hAnsi="SF Text" w:cs="SF Text" w:eastAsia="SF Text"/>
          <w:iCs/>
          <w:i/>
          <w:bCs/>
          <w:b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_______ 2026 г. Исполнитель выполнил, а Заказчик принял работы по **Этапу №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iCs/>
          <w:i/>
          <w:bCs/>
          <w:b/>
          <w:color w:val="000000"/>
        </w:rPr>
        <w:t xml:space="preserve">** (наименование этапа:</w:t>
      </w:r>
      <w:r>
        <w:rPr>
          <w:rFonts w:ascii="SF Text" w:hAnsi="SF Text" w:cs="SF Text" w:eastAsia="SF Text"/>
          <w:iCs/>
          <w:i/>
          <w:bCs/>
          <w:b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_____________________).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2.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Состав выполненных работ:</w:t>
      </w:r>
    </w:p>
    <w:p>
      <w:r>
        <w:rPr>
          <w:rFonts w:ascii="SF Text" w:hAnsi="SF Text" w:cs="SF Text" w:eastAsia="SF Text"/>
          <w:color w:val="000000"/>
        </w:rPr>
        <w:pict>
          <v:rect style="width:0;height:1.5pt" o:hralign="center" o:hrstd="t" o:hr="t"/>
        </w:pict>
      </w:r>
    </w:p>
    <w:p>
      <w:r>
        <w:rPr>
          <w:rFonts w:ascii="SF Text" w:hAnsi="SF Text" w:cs="SF Text" w:eastAsia="SF Text"/>
          <w:color w:val="000000"/>
        </w:rPr>
        <w:pict>
          <v:rect style="width:0;height:1.5pt" o:hralign="center" o:hrstd="t" o:hr="t"/>
        </w:pict>
      </w:r>
    </w:p>
    <w:p>
      <w:r>
        <w:rPr>
          <w:rFonts w:ascii="SF Text" w:hAnsi="SF Text" w:cs="SF Text" w:eastAsia="SF Text"/>
          <w:color w:val="000000"/>
        </w:rP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SF Text" w:hAnsi="SF Text" w:cs="SF Text" w:eastAsia="SF Text"/>
          <w:color w:val="000000"/>
        </w:rPr>
        <w:t xml:space="preserve">(перечень существенных результатов с привязкой к пунктам Приложения № 1 — Техническое задание).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3.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Стоимость выполненных работ по настоящему Акту составляет: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bCs/>
          <w:b/>
          <w:color w:val="000000"/>
        </w:rPr>
        <w:t xml:space="preserve">_____________ (____________________________________) рублей _____ копеек</w:t>
      </w:r>
      <w:r>
        <w:rPr>
          <w:rFonts w:ascii="SF Text" w:hAnsi="SF Text" w:cs="SF Text" w:eastAsia="SF Text"/>
          <w:color w:val="000000"/>
        </w:rPr>
        <w:t xml:space="preserve">, НДС _______________.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4.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Работы выполнены в полном объёме и в установленные сроки. Заказчик претензий к качеству и срокам выполнения работ не имеет.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5.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Исключительные права на результаты интеллектуальной деятельности, созданные в рамках настоящего Этапа, переходят от Исполнителя к Заказчику в соответствии с разделом 9 Договора после поступления оплаты за этот Этап на счёт Исполнителя.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6.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Настоящий Акт составлен в 2 (двух) экземплярах, по одному для каждой из Сторон.</w:t>
      </w:r>
    </w:p>
    <w:p>
      <w:pPr>
        <w:pStyle w:val="Heading3"/>
      </w:pPr>
      <w:r>
        <w:rPr>
          <w:rFonts w:ascii="SF Display" w:hAnsi="SF Display" w:cs="SF Display" w:eastAsia="SF Display"/>
          <w:color w:val="000000"/>
        </w:rPr>
        <w:t xml:space="preserve">ПОДПИСИ СТОРОН</w:t>
      </w:r>
    </w:p>
    <w:p>
      <w:pPr>
        <w:pStyle w:val="FirstParagraph"/>
      </w:pPr>
      <w:r>
        <w:rPr>
          <w:rFonts w:ascii="SF Text" w:hAnsi="SF Text" w:cs="SF Text" w:eastAsia="SF Text"/>
          <w:bCs/>
          <w:b/>
          <w:color w:val="000000"/>
        </w:rPr>
        <w:t xml:space="preserve">Исполнитель: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______________________ / Иванов Евгений Владимирович /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М. П. (при наличии)</w:t>
      </w:r>
    </w:p>
    <w:p>
      <w:pPr>
        <w:pStyle w:val="BodyText"/>
      </w:pPr>
      <w:r>
        <w:rPr>
          <w:rFonts w:ascii="SF Text" w:hAnsi="SF Text" w:cs="SF Text" w:eastAsia="SF Text"/>
          <w:bCs/>
          <w:b/>
          <w:color w:val="000000"/>
        </w:rPr>
        <w:t xml:space="preserve">Заказчик:</w:t>
      </w:r>
      <w:r>
        <w:rPr>
          <w:rFonts w:ascii="SF Text" w:hAnsi="SF Text" w:cs="SF Text" w:eastAsia="SF Text"/>
          <w:color w:val="000000"/>
        </w:rPr>
        <w:t xml:space="preserve"> </w:t>
      </w:r>
      <w:r>
        <w:rPr>
          <w:rFonts w:ascii="SF Text" w:hAnsi="SF Text" w:cs="SF Text" w:eastAsia="SF Text"/>
          <w:color w:val="000000"/>
        </w:rPr>
        <w:t xml:space="preserve">______________________ / Чернова Светлана Александровна /</w:t>
      </w:r>
    </w:p>
    <w:p>
      <w:pPr>
        <w:pStyle w:val="BodyText"/>
      </w:pPr>
      <w:r>
        <w:rPr>
          <w:rFonts w:ascii="SF Text" w:hAnsi="SF Text" w:cs="SF Text" w:eastAsia="SF Text"/>
          <w:color w:val="000000"/>
        </w:rPr>
        <w:t xml:space="preserve">М. П.</w:t>
      </w:r>
    </w:p>
    <w:p>
      <w:pPr>
        <w:pStyle w:val="BodyText"/>
      </w:pPr>
      <w:r>
        <w:rPr>
          <w:rFonts w:ascii="SF Text" w:hAnsi="SF Text" w:cs="SF Text" w:eastAsia="SF Text"/>
          <w:iCs/>
          <w:i/>
          <w:color w:val="000000"/>
        </w:rPr>
        <w:t xml:space="preserve">Конец документа.</w:t>
      </w:r>
    </w:p>
    <w:sectPr w:rsidR="00FC693F" w:rsidRPr="0006063C" w:rsidSect="00034616">
      <w:pgSz w:h="15840" w:w="12240"/>
      <w:pgMar w:bottom="1134" w:footer="720" w:gutter="0" w:header="720" w:left="1417" w:right="85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SF Text" w:cs="SF Text" w:eastAsia="SF Text" w:hAnsi="SF Text"/>
      <w:b w:val="0"/>
      <w:sz w:val="22"/>
      <w:color w:val="000000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SF Display" w:cs="SF Display" w:eastAsia="SF Display" w:hAnsi="SF Display"/>
      <w:b/>
      <w:bCs/>
      <w:sz w:val="44"/>
      <w:szCs w:val="28"/>
      <w:color w:val="00000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SF Display" w:cs="SF Display" w:eastAsia="SF Display" w:hAnsi="SF Display"/>
      <w:b/>
      <w:bCs/>
      <w:sz w:val="32"/>
      <w:szCs w:val="26"/>
      <w:color w:val="000000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SF Display" w:cs="SF Display" w:eastAsia="SF Display" w:hAnsi="SF Display"/>
      <w:b/>
      <w:bCs/>
      <w:sz w:val="26"/>
      <w:color w:val="000000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SF Display" w:cs="SF Display" w:eastAsia="SF Display" w:hAnsi="SF Display"/>
      <w:b/>
      <w:bCs/>
      <w:i/>
      <w:iCs/>
      <w:sz w:val="24"/>
      <w:color w:val="00000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rPr>
      <w:rFonts w:ascii="SF Text" w:cs="SF Text" w:eastAsia="SF Text" w:hAnsi="SF Text"/>
      <w:b w:val="0"/>
      <w:sz w:val="20"/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="SF Display" w:cs="SF Display" w:eastAsia="SF Display" w:hAnsi="SF Display"/>
      <w:b/>
      <w:spacing w:val="5"/>
      <w:kern w:val="28"/>
      <w:sz w:val="52"/>
      <w:szCs w:val="52"/>
      <w:color w:val="000000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SF Text" w:cs="SF Text" w:eastAsia="SF Text" w:hAnsi="SF Text"/>
      <w:b w:val="0"/>
      <w:sz w:val="20"/>
      <w:color w:val="00000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2026-04-27T10:59:32Z</dcterms:created>
  <dcterms:modified xsi:type="dcterms:W3CDTF">2026-04-27T10:59:32Z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