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8736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Pointers Status</w:t>
      </w:r>
    </w:p>
    <w:p w14:paraId="633DF05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14:ligatures w14:val="none"/>
        </w:rPr>
        <w:t>January 8, 2026</w:t>
      </w:r>
    </w:p>
    <w:p w14:paraId="5A393B20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Design Philosophy</w:t>
      </w:r>
    </w:p>
    <w:p w14:paraId="609E2373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 platform is intentionally designed to be metadata-driven, explainable, and extensible, rather than hard-coded or vertically constrained.</w:t>
      </w:r>
    </w:p>
    <w:p w14:paraId="2DC2D10A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All business logic is expressed through molecules, composites, and rules, not embedded code.</w:t>
      </w:r>
    </w:p>
    <w:p w14:paraId="25DA337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 system favors clarity and determinism over opaque optimization.</w:t>
      </w:r>
    </w:p>
    <w:p w14:paraId="3EF4427A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Every outcome (bonus, promotion, tier change, expiration) is explainable in plain language.</w:t>
      </w:r>
    </w:p>
    <w:p w14:paraId="3BA726A6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Tenant isolation is a core principle: each tenant defines its own data model, terminology, and behavior without impacting others.</w:t>
      </w:r>
    </w:p>
    <w:p w14:paraId="16829077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 platform is designed to integrate cleanly with existing enterprise ecosystems, rather than replace best-of-breed tools.</w:t>
      </w:r>
    </w:p>
    <w:p w14:paraId="29ECD6C2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This approach allows the platform to support airlines, hotels, retail, and future verticals without architectural rewrites.</w:t>
      </w:r>
    </w:p>
    <w:p w14:paraId="7DF7ACC9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Scale &amp; Integrity</w:t>
      </w:r>
    </w:p>
    <w:p w14:paraId="21AC92D5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 platform is built with enterprise-grade scale and data integrity as foundational requirements.</w:t>
      </w:r>
    </w:p>
    <w:p w14:paraId="7489B9EF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Ledger-based accounting for points, tiers, and promotions.</w:t>
      </w:r>
    </w:p>
    <w:p w14:paraId="62AF0DBE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Idempotent processing to prevent duplicate postings.</w:t>
      </w:r>
    </w:p>
    <w:p w14:paraId="70AF1EE4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Deterministic rule evaluation.</w:t>
      </w:r>
    </w:p>
    <w:p w14:paraId="09410E1D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Strong consistency guarantees suitable for high-volume transactional environments.</w:t>
      </w:r>
    </w:p>
    <w:p w14:paraId="1FC716A0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Horizontal scalability without sacrificing correctness or explainability.</w:t>
      </w:r>
    </w:p>
    <w:p w14:paraId="33BBB26D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Demonstrated throughput: 500+ accrual transactions per second, 35,000+ member information lookups per second.</w:t>
      </w:r>
    </w:p>
    <w:p w14:paraId="33BBB26C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lastRenderedPageBreak/>
        <w:t>These characteristics ensure the platform behaves predictably under load and can be trusted as a system of record.</w:t>
      </w:r>
    </w:p>
    <w:p w14:paraId="42B898D9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Completed</w:t>
      </w:r>
    </w:p>
    <w:p w14:paraId="3ECC9ED7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 Architecture – Molecules</w:t>
      </w:r>
    </w:p>
    <w:p w14:paraId="4AF6680F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Molecules are the fundamental data abstraction in the platform. They attach to core entities (Member, Activity) and represent all business-relevant attributes.</w:t>
      </w:r>
    </w:p>
    <w:p w14:paraId="6A02EC00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Molecules can attach to any data source, including client systems and external partners.</w:t>
      </w:r>
    </w:p>
    <w:p w14:paraId="0D24B31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There is no practical limit on the number of molecules per tenant.</w:t>
      </w:r>
    </w:p>
    <w:p w14:paraId="53F63857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Supported molecule types include internal lookups, external lookups (for example, IATA airport codes), numeric values, text values, and dates.</w:t>
      </w:r>
    </w:p>
    <w:p w14:paraId="27DC3F0B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 storage model is highly efficient and supports the automatic and dynamic creation of new data structures as required.</w:t>
      </w:r>
    </w:p>
    <w:p w14:paraId="476B4FE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Molecules support both singular (single-column) and Compound Molecule (multi-column) definitions.</w:t>
      </w:r>
    </w:p>
    <w:p w14:paraId="7AE43E2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Molecule Groups are supported.</w:t>
      </w:r>
      <w:r w:rsidRPr="00130683">
        <w:rPr>
          <w:rFonts w:ascii="Arial" w:eastAsia="Times New Roman" w:hAnsi="Arial" w:cs="Arial"/>
          <w:kern w:val="0"/>
          <w14:ligatures w14:val="none"/>
        </w:rPr>
        <w:br/>
        <w:t>Example: Destination can reference a Pseudo City group such as New York, containing LGA, JFK, EWR, and HPN.</w:t>
      </w:r>
    </w:p>
    <w:p w14:paraId="21307E90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Flag molecules are implemented for tagging and classification, including focus groups, campaign exposure, employer affiliation, and other boolean or categorical tagging.</w:t>
      </w:r>
    </w:p>
    <w:p w14:paraId="5C74167A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Composites (Tenant-Specific Definitions)</w:t>
      </w:r>
    </w:p>
    <w:p w14:paraId="6C8F410D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Composites define the required and optional molecule set for each tenant and are fully tenant-scoped.</w:t>
      </w:r>
    </w:p>
    <w:p w14:paraId="6C8F410E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Multi-tenant isolation is demonstrated with four tenants: Delta Air Lines, United Airlines, Marriott Hotels, and Ferrari Owners Club.</w:t>
      </w:r>
    </w:p>
    <w:p w14:paraId="4EBF7DCB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Examples include airline tenants with Origin, Destination, Carrier, Flight Number, Class of Service, and MQDs, and hotel tenants with Brand, Location, Nights, and Eligible Spend.</w:t>
      </w:r>
    </w:p>
    <w:p w14:paraId="2349A825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When a new molecule is created, it becomes immediately available across APIs, input and output templates, bonuses, and promotions.</w:t>
      </w:r>
    </w:p>
    <w:p w14:paraId="5BC44D49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Points / Currency Handling</w:t>
      </w:r>
    </w:p>
    <w:p w14:paraId="14D5CC0E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Points can be supplied directly by the client or calculated dynamically by function.</w:t>
      </w:r>
    </w:p>
    <w:p w14:paraId="6901E317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An example is airline mileage calculated using great-circle distance.</w:t>
      </w:r>
    </w:p>
    <w:p w14:paraId="0871D76E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Input and output templates enable immediate visibility and use across operational pages.</w:t>
      </w:r>
    </w:p>
    <w:p w14:paraId="126243EC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CSR Capabilities</w:t>
      </w:r>
    </w:p>
    <w:p w14:paraId="5ED4679C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Activity Page</w:t>
      </w:r>
    </w:p>
    <w:p w14:paraId="1597B254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Each accrual supports both an efficient (compact) view and a verbose (diagnostic) view, configurable via templates.</w:t>
      </w:r>
    </w:p>
    <w:p w14:paraId="77A0EE25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For each accrual, a CSR can test a bonus or promotion, and the system explains why it did or did not qualify, such as the member not having Gold tier status.</w:t>
      </w:r>
    </w:p>
    <w:p w14:paraId="73DCF308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CSRs can see which promotions an accrual participated in and the contribution amount toward promotion counters.</w:t>
      </w:r>
    </w:p>
    <w:p w14:paraId="7E6461D4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Bonuses and promotions can be clicked to view plain-text descriptions.</w:t>
      </w:r>
    </w:p>
    <w:p w14:paraId="6C09FFD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For redemptions, the full point aging schedule used in the redemption is visible.</w:t>
      </w:r>
    </w:p>
    <w:p w14:paraId="6C09FFD2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Retro-credit processing handles back-dated activities correctly, applying rules as of the activity date rather than the posting date.</w:t>
      </w:r>
    </w:p>
    <w:p w14:paraId="56A7F43A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Member Promotion Page</w:t>
      </w:r>
    </w:p>
    <w:p w14:paraId="0451464A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Each promotion includes a plain-text description.</w:t>
      </w:r>
    </w:p>
    <w:p w14:paraId="3D0249F8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All accruals that contributed to the promotion are listed, along with the contribution amount for each accrual.</w:t>
      </w:r>
    </w:p>
    <w:p w14:paraId="1BDC74B4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Tier History</w:t>
      </w:r>
    </w:p>
    <w:p w14:paraId="7375ED69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 complete tier history is maintained.</w:t>
      </w:r>
    </w:p>
    <w:p w14:paraId="0E21D50D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Party Trick: a CSR can enter any date and view the member’s tier as of that date.</w:t>
      </w:r>
    </w:p>
    <w:p w14:paraId="42F70999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Point Expiration</w:t>
      </w:r>
    </w:p>
    <w:p w14:paraId="1A37FD10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lastRenderedPageBreak/>
        <w:t>A full ledger-style schedule is available, showing accrued, redeemed, expired, and available points, tracked per point bucket.</w:t>
      </w:r>
    </w:p>
    <w:p w14:paraId="70F4176A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Aliases</w:t>
      </w:r>
    </w:p>
    <w:p w14:paraId="5F333E15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Members can have unlimited alternate account numbers.</w:t>
      </w:r>
    </w:p>
    <w:p w14:paraId="4BE1A024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Account numbers can be linked to external partners.</w:t>
      </w:r>
    </w:p>
    <w:p w14:paraId="29C9703A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Badges</w:t>
      </w:r>
    </w:p>
    <w:p w14:paraId="2FE3312C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Member badges are supported with a start date and optional end date.</w:t>
      </w:r>
    </w:p>
    <w:p w14:paraId="39E21F21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Admin Capabilities</w:t>
      </w:r>
    </w:p>
    <w:p w14:paraId="32D10D08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Bonuses</w:t>
      </w:r>
    </w:p>
    <w:p w14:paraId="18EDAFCB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Bonuses award additional points on a single accrual.</w:t>
      </w:r>
    </w:p>
    <w:p w14:paraId="717DC7F3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Each accrual may have zero or more bonuses.</w:t>
      </w:r>
    </w:p>
    <w:p w14:paraId="016CA0E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Bonuses may award a fixed number of points or a percentage of the accrual.</w:t>
      </w:r>
    </w:p>
    <w:p w14:paraId="3F6484EC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Eligibility filters include date range, day of week, and characteristics of both the member and the activity.</w:t>
      </w:r>
    </w:p>
    <w:p w14:paraId="0E4C1985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Unlimited molecule-based criteria are supported.</w:t>
      </w:r>
    </w:p>
    <w:p w14:paraId="187BC2B5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Full Boolean operator support is available, including equals, greater than, less than, in list, in group, not in group, and between.</w:t>
      </w:r>
    </w:p>
    <w:p w14:paraId="5EE966DB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Party Trick: bonus statistics are available at a glance.</w:t>
      </w:r>
    </w:p>
    <w:p w14:paraId="3B1BB5E0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Promotions</w:t>
      </w:r>
    </w:p>
    <w:p w14:paraId="311D35CE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Promotions track progress over time and issue rewards when goals are met.</w:t>
      </w:r>
    </w:p>
    <w:p w14:paraId="48A5FB19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The same rules engine used for bonuses is used for promotions.</w:t>
      </w:r>
    </w:p>
    <w:p w14:paraId="229ED110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Statistics are available at a glance.</w:t>
      </w:r>
    </w:p>
    <w:p w14:paraId="41C72AA1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Promotions may be auto-enrolled, restricted, or member “raise hand” enrollment.</w:t>
      </w:r>
    </w:p>
    <w:p w14:paraId="10BB37D6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Promotions can track core earning events (such as flights or stays), points, molecules (for example, MQDs), and tokens.</w:t>
      </w:r>
    </w:p>
    <w:p w14:paraId="26675148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Promotion Outcomes</w:t>
      </w:r>
    </w:p>
    <w:p w14:paraId="64A5EBAE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 promotion may result in any combination of points, tier level changes, tokens, enrollment in restricted promotions, external rewards such as coupons, and badges.</w:t>
      </w:r>
    </w:p>
    <w:p w14:paraId="64A5EBAF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Tier cascade logic automatically qualifies parallel tier pathways when a member achieves a tier through any pathway, preventing duplicate fulfillment.</w:t>
      </w:r>
    </w:p>
    <w:p w14:paraId="4C4F58B6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Bonus &amp; Promotion Testing</w:t>
      </w:r>
    </w:p>
    <w:p w14:paraId="1B0B2A8A" w14:textId="77777777" w:rsid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Admins can enter member data and flight, stay, or activity data to see whether a bonus or promotion would qualify, with a clear explanation of the result.</w:t>
      </w:r>
    </w:p>
    <w:p w14:paraId="7EED4BE0" w14:textId="77777777" w:rsidR="00066EF2" w:rsidRPr="00130683" w:rsidRDefault="00066EF2" w:rsidP="00066E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Tokens</w:t>
      </w:r>
    </w:p>
    <w:p w14:paraId="7084D7EB" w14:textId="77777777" w:rsidR="00066EF2" w:rsidRPr="00130683" w:rsidRDefault="00066EF2" w:rsidP="00066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Tokens manage related promotions and milestones.</w:t>
      </w:r>
    </w:p>
    <w:p w14:paraId="335C42D7" w14:textId="77777777" w:rsidR="00066EF2" w:rsidRPr="00130683" w:rsidRDefault="00066EF2" w:rsidP="00066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An example is monthly challenges with additional rewards after completing five challenges and even more rewards after completing seven.</w:t>
      </w:r>
    </w:p>
    <w:p w14:paraId="757CFE4E" w14:textId="77777777" w:rsidR="00066EF2" w:rsidRPr="00130683" w:rsidRDefault="00066EF2" w:rsidP="00066EF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Tokens can also track non-point-earning events.</w:t>
      </w:r>
    </w:p>
    <w:p w14:paraId="3FF396CF" w14:textId="77777777" w:rsidR="00066EF2" w:rsidRPr="00130683" w:rsidRDefault="00066EF2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6BC39B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Other Capabilities</w:t>
      </w:r>
    </w:p>
    <w:p w14:paraId="3F3BD21F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Audit</w:t>
      </w:r>
    </w:p>
    <w:p w14:paraId="74F8CDAB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 full audit trail is maintained for adds, deletes, and updates.</w:t>
      </w:r>
    </w:p>
    <w:p w14:paraId="07F7143B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Field-level change tracking is supported.</w:t>
      </w:r>
      <w:r w:rsidRPr="00130683">
        <w:rPr>
          <w:rFonts w:ascii="Arial" w:eastAsia="Times New Roman" w:hAnsi="Arial" w:cs="Arial"/>
          <w:kern w:val="0"/>
          <w14:ligatures w14:val="none"/>
        </w:rPr>
        <w:br/>
        <w:t>Example: CSR Bill changed Member Mark’s ZIP code from 55357 to 55359.</w:t>
      </w:r>
    </w:p>
    <w:p w14:paraId="2CCFDFB2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Configuration &amp; Maintenance</w:t>
      </w:r>
    </w:p>
    <w:p w14:paraId="3DC57559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Molecule maintenance is supported.</w:t>
      </w:r>
    </w:p>
    <w:p w14:paraId="5B33AE53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System parameters include currency labels (Miles, Points, Stays, etc.), retroactivity limits, and other platform-wide settings.</w:t>
      </w:r>
    </w:p>
    <w:p w14:paraId="68B37B92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Templates allow configuration of both data inputs and data displays.</w:t>
      </w:r>
    </w:p>
    <w:p w14:paraId="48986C93" w14:textId="77777777" w:rsidR="00130683" w:rsidRPr="00130683" w:rsidRDefault="00130683" w:rsidP="0013068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3068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Open / Planned (Deliberate by Design)</w:t>
      </w:r>
    </w:p>
    <w:p w14:paraId="1A8A29C2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lastRenderedPageBreak/>
        <w:t>The following capabilities are intentionally positioned as external or third-party integrations, rather than native platform features.</w:t>
      </w:r>
    </w:p>
    <w:p w14:paraId="4170AF99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Reporting and analytics are handled by third-party BI and analytics platforms via clean APIs and event streams, rather than duplicating analytics inside the core system.</w:t>
      </w:r>
    </w:p>
    <w:p w14:paraId="1B0D5C4C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Campaigns and communications, including email, SMS, push, and other outbound messaging, integrate with best-of-breed third-party campaign platforms.</w:t>
      </w:r>
    </w:p>
    <w:p w14:paraId="6A9A8FAC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Support for multiple currencies is planned for multi-currency programs and conversion.</w:t>
      </w:r>
    </w:p>
    <w:p w14:paraId="46869EF0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Account merge capabilities will support member account consolidation and history reconciliation.</w:t>
      </w:r>
    </w:p>
    <w:p w14:paraId="358C34C8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Production security hardening will include a full enterprise security model with roles, permissions, and enforcement.</w:t>
      </w:r>
    </w:p>
    <w:p w14:paraId="5ED19D18" w14:textId="77777777" w:rsidR="00130683" w:rsidRPr="00130683" w:rsidRDefault="00130683" w:rsidP="0013068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130683">
        <w:rPr>
          <w:rFonts w:ascii="Arial" w:eastAsia="Times New Roman" w:hAnsi="Arial" w:cs="Arial"/>
          <w:kern w:val="0"/>
          <w14:ligatures w14:val="none"/>
        </w:rPr>
        <w:t>Additional third-party integrations will be added as required by clients.</w:t>
      </w:r>
    </w:p>
    <w:p w14:paraId="5C18D3D1" w14:textId="77777777" w:rsidR="00AD1210" w:rsidRPr="00130683" w:rsidRDefault="00AD1210" w:rsidP="00130683">
      <w:pPr>
        <w:rPr>
          <w:rFonts w:ascii="Arial" w:hAnsi="Arial" w:cs="Arial"/>
        </w:rPr>
      </w:pPr>
    </w:p>
    <w:sectPr w:rsidR="00AD1210" w:rsidRPr="0013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60D"/>
    <w:multiLevelType w:val="multilevel"/>
    <w:tmpl w:val="3FB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9F3"/>
    <w:multiLevelType w:val="multilevel"/>
    <w:tmpl w:val="DD9C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405"/>
    <w:multiLevelType w:val="multilevel"/>
    <w:tmpl w:val="399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6D96"/>
    <w:multiLevelType w:val="multilevel"/>
    <w:tmpl w:val="CC5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12260"/>
    <w:multiLevelType w:val="multilevel"/>
    <w:tmpl w:val="D12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B420E"/>
    <w:multiLevelType w:val="multilevel"/>
    <w:tmpl w:val="B3F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72C2"/>
    <w:multiLevelType w:val="multilevel"/>
    <w:tmpl w:val="754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02217"/>
    <w:multiLevelType w:val="multilevel"/>
    <w:tmpl w:val="E37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3166D"/>
    <w:multiLevelType w:val="multilevel"/>
    <w:tmpl w:val="305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B6243"/>
    <w:multiLevelType w:val="multilevel"/>
    <w:tmpl w:val="CEB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130C4"/>
    <w:multiLevelType w:val="multilevel"/>
    <w:tmpl w:val="0F4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842A7"/>
    <w:multiLevelType w:val="multilevel"/>
    <w:tmpl w:val="835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6178A"/>
    <w:multiLevelType w:val="multilevel"/>
    <w:tmpl w:val="948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2274F"/>
    <w:multiLevelType w:val="multilevel"/>
    <w:tmpl w:val="5F48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674EF"/>
    <w:multiLevelType w:val="multilevel"/>
    <w:tmpl w:val="751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32BD8"/>
    <w:multiLevelType w:val="multilevel"/>
    <w:tmpl w:val="7BB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668D9"/>
    <w:multiLevelType w:val="multilevel"/>
    <w:tmpl w:val="256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D605D"/>
    <w:multiLevelType w:val="multilevel"/>
    <w:tmpl w:val="27E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C2039C"/>
    <w:multiLevelType w:val="hybridMultilevel"/>
    <w:tmpl w:val="F7B21320"/>
    <w:lvl w:ilvl="0" w:tplc="AE267D7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7408D"/>
    <w:multiLevelType w:val="multilevel"/>
    <w:tmpl w:val="382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10"/>
    <w:rsid w:val="00066EF2"/>
    <w:rsid w:val="00105A17"/>
    <w:rsid w:val="00130683"/>
    <w:rsid w:val="001810E3"/>
    <w:rsid w:val="002C3723"/>
    <w:rsid w:val="002E4323"/>
    <w:rsid w:val="00305EF0"/>
    <w:rsid w:val="00333D4A"/>
    <w:rsid w:val="003A4C4C"/>
    <w:rsid w:val="00401DF2"/>
    <w:rsid w:val="007D115B"/>
    <w:rsid w:val="00851FF2"/>
    <w:rsid w:val="009473E9"/>
    <w:rsid w:val="00982F8D"/>
    <w:rsid w:val="00AD1210"/>
    <w:rsid w:val="00B751CC"/>
    <w:rsid w:val="00BA334E"/>
    <w:rsid w:val="00BE17F5"/>
    <w:rsid w:val="00C31C2D"/>
    <w:rsid w:val="00D906F4"/>
    <w:rsid w:val="00DD05F4"/>
    <w:rsid w:val="00E21D4C"/>
    <w:rsid w:val="00E6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7AA5"/>
  <w15:chartTrackingRefBased/>
  <w15:docId w15:val="{4D6E7839-28BD-C743-8AB0-44336BE8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2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0683"/>
    <w:rPr>
      <w:b/>
      <w:bCs/>
    </w:rPr>
  </w:style>
  <w:style w:type="character" w:styleId="Emphasis">
    <w:name w:val="Emphasis"/>
    <w:basedOn w:val="DefaultParagraphFont"/>
    <w:uiPriority w:val="20"/>
    <w:qFormat/>
    <w:rsid w:val="001306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Jansen</dc:creator>
  <cp:keywords/>
  <dc:description/>
  <cp:lastModifiedBy>Bill Jansen</cp:lastModifiedBy>
  <cp:revision>1</cp:revision>
  <dcterms:created xsi:type="dcterms:W3CDTF">2026-01-08T14:21:00Z</dcterms:created>
  <dcterms:modified xsi:type="dcterms:W3CDTF">2026-01-09T02:32:00Z</dcterms:modified>
</cp:coreProperties>
</file>