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400"/>
        <w:jc w:val="center"/>
      </w:pPr>
      <w:r>
        <w:drawing>
          <wp:inline distT="0" distB="0" distL="0" distR="0">
            <wp:extent cx="2667000" cy="809625"/>
            <wp:effectExtent t="0" r="0" b="0" l="0"/>
            <wp:docPr id="1" name="primada-logo" descr="Primada company logo" title="Primad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809625"/>
                    </a:xfrm>
                    <a:prstGeom prst="rect">
                      <a:avLst/>
                    </a:prstGeom>
                  </pic:spPr>
                </pic:pic>
              </a:graphicData>
            </a:graphic>
          </wp:inline>
        </w:drawing>
      </w:r>
    </w:p>
    <w:p>
      <w:pPr>
        <w:spacing w:after="200"/>
      </w:pPr>
    </w:p>
    <w:p>
      <w:pPr>
        <w:spacing w:after="120"/>
        <w:jc w:val="center"/>
      </w:pPr>
      <w:r>
        <w:rPr>
          <w:rFonts w:ascii="Arial" w:cs="Arial" w:eastAsia="Arial" w:hAnsi="Arial"/>
          <w:b/>
          <w:bCs/>
          <w:color w:val="1B3A5C"/>
          <w:sz w:val="48"/>
          <w:szCs w:val="48"/>
        </w:rPr>
        <w:t xml:space="preserve">Wisconsin PHP</w:t>
      </w:r>
    </w:p>
    <w:p>
      <w:pPr>
        <w:spacing w:after="120"/>
        <w:jc w:val="center"/>
      </w:pPr>
      <w:r>
        <w:rPr>
          <w:rFonts w:ascii="Arial" w:cs="Arial" w:eastAsia="Arial" w:hAnsi="Arial"/>
          <w:b/>
          <w:bCs/>
          <w:color w:val="1B3A5C"/>
          <w:sz w:val="40"/>
          <w:szCs w:val="40"/>
        </w:rPr>
        <w:t xml:space="preserve">Physician Wellness Platform</w:t>
      </w:r>
    </w:p>
    <w:p>
      <w:pPr>
        <w:spacing w:after="60"/>
        <w:jc w:val="center"/>
      </w:pPr>
      <w:r>
        <w:rPr>
          <w:rFonts w:ascii="Arial" w:cs="Arial" w:eastAsia="Arial" w:hAnsi="Arial"/>
          <w:i/>
          <w:iCs/>
          <w:color w:val="2E75B6"/>
          <w:sz w:val="28"/>
          <w:szCs w:val="28"/>
        </w:rPr>
        <w:t xml:space="preserve">Powered by Pointers</w:t>
      </w:r>
    </w:p>
    <w:p>
      <w:pPr>
        <w:pBdr>
          <w:bottom w:val="single" w:color="2E75B6" w:sz="6" w:space="1"/>
        </w:pBdr>
        <w:spacing w:after="200" w:before="200"/>
      </w:pPr>
    </w:p>
    <w:p>
      <w:pPr>
        <w:spacing w:after="80"/>
        <w:jc w:val="center"/>
      </w:pPr>
      <w:r>
        <w:rPr>
          <w:rFonts w:ascii="Arial" w:cs="Arial" w:eastAsia="Arial" w:hAnsi="Arial"/>
          <w:color w:val="475569"/>
          <w:sz w:val="28"/>
          <w:szCs w:val="28"/>
        </w:rPr>
        <w:t xml:space="preserve">Program Status &amp; Development Roadmap</w:t>
      </w:r>
    </w:p>
    <w:p>
      <w:pPr>
        <w:spacing w:after="400"/>
        <w:jc w:val="center"/>
      </w:pPr>
      <w:r>
        <w:rPr>
          <w:rFonts w:ascii="Arial" w:cs="Arial" w:eastAsia="Arial" w:hAnsi="Arial"/>
          <w:color w:val="475569"/>
          <w:sz w:val="24"/>
          <w:szCs w:val="24"/>
        </w:rPr>
        <w:t xml:space="preserve">March 2026</w:t>
      </w:r>
    </w:p>
    <w:p>
      <w:pPr>
        <w:spacing w:after="200"/>
      </w:pPr>
    </w:p>
    <w:p>
      <w:pPr>
        <w:spacing w:after="40"/>
        <w:jc w:val="center"/>
      </w:pPr>
      <w:r>
        <w:rPr>
          <w:rFonts w:ascii="Arial" w:cs="Arial" w:eastAsia="Arial" w:hAnsi="Arial"/>
          <w:color w:val="475569"/>
          <w:sz w:val="22"/>
          <w:szCs w:val="22"/>
        </w:rPr>
        <w:t xml:space="preserve">Prepared for Insight Health Solutions</w:t>
      </w:r>
    </w:p>
    <w:p>
      <w:pPr>
        <w:spacing w:after="40"/>
        <w:jc w:val="center"/>
      </w:pPr>
      <w:r>
        <w:rPr>
          <w:rFonts w:ascii="Arial" w:cs="Arial" w:eastAsia="Arial" w:hAnsi="Arial"/>
          <w:color w:val="475569"/>
          <w:sz w:val="20"/>
          <w:szCs w:val="20"/>
        </w:rPr>
        <w:t xml:space="preserve">Damian Novak  |  Dr. Erica Larson  |  Dr. Thomas Joles</w:t>
      </w:r>
    </w:p>
    <w:p>
      <w:pPr>
        <w:spacing w:after="40" w:before="200"/>
        <w:jc w:val="center"/>
      </w:pPr>
      <w:r>
        <w:rPr>
          <w:rFonts w:ascii="Arial" w:cs="Arial" w:eastAsia="Arial" w:hAnsi="Arial"/>
          <w:b/>
          <w:bCs/>
          <w:caps/>
          <w:color w:val="94A3B8"/>
          <w:sz w:val="18"/>
          <w:szCs w:val="18"/>
        </w:rPr>
        <w:t xml:space="preserve">CONFIDENTIAL</w:t>
      </w:r>
    </w:p>
    <w:p>
      <w:pPr>
        <w:sectPr>
          <w:pgSz w:w="12240" w:h="15840" w:orient="portrait"/>
          <w:pgMar w:top="1440" w:right="1440" w:bottom="1440" w:left="1440" w:header="708" w:footer="708" w:gutter="0"/>
          <w:pgNumType/>
          <w:docGrid w:linePitch="360"/>
        </w:sectPr>
      </w:pPr>
    </w:p>
    <w:p>
      <w:pPr>
        <w:spacing w:after="200" w:before="100"/>
      </w:pPr>
      <w:r>
        <w:rPr>
          <w:rFonts w:ascii="Arial" w:cs="Arial" w:eastAsia="Arial" w:hAnsi="Arial"/>
          <w:b/>
          <w:bCs/>
          <w:color w:val="1B3A5C"/>
          <w:sz w:val="32"/>
          <w:szCs w:val="32"/>
        </w:rPr>
        <w:t xml:space="preserve">Section 1: Development Roadmap</w:t>
      </w:r>
    </w:p>
    <w:p>
      <w:pPr>
        <w:spacing w:after="60" w:before="60"/>
      </w:pPr>
      <w:r>
        <w:rPr>
          <w:rFonts w:ascii="Arial" w:cs="Arial" w:eastAsia="Arial" w:hAnsi="Arial"/>
          <w:color w:val="1E293B"/>
          <w:sz w:val="21"/>
          <w:szCs w:val="21"/>
        </w:rPr>
        <w:t xml:space="preserve">The following items represent the next phase of platform development. They are informed directly by the clinical design work from Dr. Larson, operational input from Damian and Tom, and our ongoing collaboration throughout the build process. The quality and depth of the specifications we have received has been exceptional and has meaningfully accelerated development.</w:t>
      </w:r>
    </w:p>
    <w:p>
      <w:pPr>
        <w:spacing w:after="80" w:before="40"/>
      </w:pPr>
      <w:r>
        <w:rPr>
          <w:rFonts w:ascii="Arial" w:cs="Arial" w:eastAsia="Arial" w:hAnsi="Arial"/>
          <w:color w:val="1E293B"/>
          <w:sz w:val="21"/>
          <w:szCs w:val="21"/>
        </w:rPr>
        <w:t xml:space="preserve">We welcome your input on prioritization </w:t>
      </w:r>
      <w:r>
        <w:rPr>
          <w:rFonts w:ascii="Arial" w:cs="Arial" w:eastAsia="Arial" w:hAnsi="Arial"/>
          <w:i/>
          <w:iCs/>
          <w:color w:val="1E293B"/>
          <w:sz w:val="21"/>
          <w:szCs w:val="21"/>
        </w:rPr>
        <w:t xml:space="preserve">to ensure we are building what matters most, in the order that matters most.</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4160"/>
        <w:gridCol w:w="1600"/>
      </w:tblGrid>
      <w:tr>
        <w:tc>
          <w:tcPr>
            <w:tcW w:type="dxa" w:w="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41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1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1</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Dominant Driver Analysis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Identifies WHY a score increased and routes the correct intervention. Same score, different cause, different response. The bridge between detection and action.</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2</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Stabilization Protocol Cards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17 standardized intervention playbooks (from Dr. Larson) that attach to registry items. Coordinators see exactly what to do, in what order, by when, and what success looks like.</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3</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Outcome Tracking &amp; Follow-up</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Auto-scheduled follow-up checks at 2, 4, and 8 weeks after registry item resolution. Measures whether interventions actually worked. Produces population-level effectiveness data.</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4</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Convergent Validation Battery</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46-item research battery correlating PPSI domains against gold-standard instruments (PROMIS, Stanford PFI, UCLA, etc.). Publishable convergent validity data at month 6-9. Dr. Larson's accelerated validation strategy.</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5</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MEDS (Missing Event Detection)</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Automated detection of missed surveys, appointments, and compliance events. Graduated aging within cadence windows. Consecutive miss compounding.</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6</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Score Feedback (Physician Annotations)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Physicians annotate their own scores with context notes visible to care team. Improves clinical accuracy and supports the transparency commitment in the Consent Framework.</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7</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Pattern-Based Triggers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Three-week upward trend detection, sudden spike detection, and protective factor collapse alerts. Complements existing direct triggers.</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8</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Mobile Notification System</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General alert framework for the physician mobile app. Drug test alerts, missed survey reminders, appointment notifications, compliance deadline warnings.</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9</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Clinician-to-Member Relationships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Multiple clinicians per physician with assignment tracking over time. Invitation system and patient-visible care team dashboard.</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10</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Role-Based Access Controls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Formalized data visibility per role as defined in the Consent Framework: coordinator, clinician, medical director, employer, licensing board. Each sees only what they should.</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11</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Physician Affiliations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Display physician group memberships outside their primary clinic (medical societies, research groups, specialty boards).</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12</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Compliance Cadence Overrides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Per-physician override of default compliance item cadence. Item definition sets the recommendation; coordinators can adjust for individual circumstances.</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r>
        <w:tc>
          <w:tcPr>
            <w:tcW w:type="dxa" w:w="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13</w:t>
            </w:r>
          </w:p>
        </w:tc>
        <w:tc>
          <w:tcPr>
            <w:tcW w:type="dxa" w:w="32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ML Predictive Modeling Foundation</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Feature extraction queries and model architecture designed in advance of pilot data. Survival analysis models predict time-to-destabilization at 30/60/90 day horizons after sufficient data accumulates.</w:t>
            </w:r>
          </w:p>
        </w:tc>
        <w:tc>
          <w:tcPr>
            <w:tcW w:type="dxa" w:w="1600"/>
            <w:tcBorders>
              <w:top w:val="single" w:color="D0D5DD" w:sz="1"/>
              <w:left w:val="single" w:color="D0D5DD" w:sz="1"/>
              <w:bottom w:val="single" w:color="D0D5DD" w:sz="1"/>
              <w:right w:val="single" w:color="D0D5DD" w:sz="1"/>
            </w:tcBorders>
            <w:shd w:fill="F5F7FA" w:val="clear"/>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
            </w:r>
          </w:p>
        </w:tc>
      </w:tr>
    </w:tbl>
    <w:p>
      <w:pPr>
        <w:spacing w:after="60" w:before="160"/>
      </w:pPr>
      <w:r>
        <w:rPr>
          <w:rFonts w:ascii="Arial" w:cs="Arial" w:eastAsia="Arial" w:hAnsi="Arial"/>
          <w:i/>
          <w:iCs/>
          <w:color w:val="475569"/>
          <w:sz w:val="20"/>
          <w:szCs w:val="20"/>
        </w:rPr>
        <w:t xml:space="preserve">Priority column is yours to complete.</w:t>
      </w:r>
      <w:r>
        <w:rPr>
          <w:rFonts w:ascii="Arial" w:cs="Arial" w:eastAsia="Arial" w:hAnsi="Arial"/>
          <w:i/>
          <w:iCs/>
          <w:color w:val="475569"/>
          <w:sz w:val="20"/>
          <w:szCs w:val="20"/>
        </w:rPr>
        <w:t xml:space="preserve"> Please rank by importance to help us sequence the build.</w:t>
      </w:r>
    </w:p>
    <w:p>
      <w:r>
        <w:br w:type="page"/>
      </w:r>
    </w:p>
    <w:p>
      <w:pPr>
        <w:spacing w:after="200" w:before="100"/>
      </w:pPr>
      <w:r>
        <w:rPr>
          <w:rFonts w:ascii="Arial" w:cs="Arial" w:eastAsia="Arial" w:hAnsi="Arial"/>
          <w:b/>
          <w:bCs/>
          <w:color w:val="1B3A5C"/>
          <w:sz w:val="32"/>
          <w:szCs w:val="32"/>
        </w:rPr>
        <w:t xml:space="preserve">Section 2: Platform Capabilities Delivered</w:t>
      </w:r>
    </w:p>
    <w:p>
      <w:pPr>
        <w:spacing w:after="200" w:before="360"/>
      </w:pPr>
      <w:r>
        <w:rPr>
          <w:rFonts w:ascii="Arial" w:cs="Arial" w:eastAsia="Arial" w:hAnsi="Arial"/>
          <w:b/>
          <w:bCs/>
          <w:color w:val="1B3A5C"/>
          <w:sz w:val="28"/>
          <w:szCs w:val="28"/>
        </w:rPr>
        <w:t xml:space="preserve">Platform Foundation: Pointers Calibration</w:t>
      </w:r>
    </w:p>
    <w:p>
      <w:pPr>
        <w:spacing w:after="60" w:before="60"/>
      </w:pPr>
      <w:r>
        <w:rPr>
          <w:rFonts w:ascii="Arial" w:cs="Arial" w:eastAsia="Arial" w:hAnsi="Arial"/>
          <w:color w:val="1E293B"/>
          <w:sz w:val="21"/>
          <w:szCs w:val="21"/>
        </w:rPr>
        <w:t xml:space="preserve">The Wisconsin PHP platform was not built from scratch. It was calibrated from Pointers, Primada's multi-tenant behavioral data engine, purpose-built over decades for tracking members, processing events, calculating status, detecting patterns, and triggering actions. Healthcare professional monitoring is structurally identical to the behavioral engagement tracking Pointers was designed for.</w:t>
      </w:r>
    </w:p>
    <w:p>
      <w:pPr>
        <w:spacing w:after="60" w:before="60"/>
      </w:pPr>
      <w:r>
        <w:rPr>
          <w:rFonts w:ascii="Arial" w:cs="Arial" w:eastAsia="Arial" w:hAnsi="Arial"/>
          <w:color w:val="1E293B"/>
          <w:sz w:val="21"/>
          <w:szCs w:val="21"/>
        </w:rPr>
        <w:t xml:space="preserve">This calibration gave the project a substantial head start. The data architecture, temporal tracking engine, rules evaluation system, multi-tenant isolation, and API infrastructure were already proven and in production. What we built for Wisconsin PHP was the clinical layer on top of an enterprise-grade foundation.</w:t>
      </w:r>
    </w:p>
    <w:p>
      <w:pPr>
        <w:spacing w:after="120" w:before="240"/>
      </w:pPr>
      <w:r>
        <w:rPr>
          <w:rFonts w:ascii="Arial" w:cs="Arial" w:eastAsia="Arial" w:hAnsi="Arial"/>
          <w:b/>
          <w:bCs/>
          <w:color w:val="2E75B6"/>
          <w:sz w:val="24"/>
          <w:szCs w:val="24"/>
        </w:rPr>
        <w:t xml:space="preserve">What Calibration Delivered on Day One</w:t>
      </w:r>
    </w:p>
    <w:p>
      <w:pPr>
        <w:pStyle w:val="ListParagraph"/>
        <w:numPr>
          <w:ilvl w:val="0"/>
          <w:numId w:val="2"/>
        </w:numPr>
        <w:spacing w:after="40" w:before="40"/>
      </w:pPr>
      <w:r>
        <w:rPr>
          <w:rFonts w:ascii="Arial" w:cs="Arial" w:eastAsia="Arial" w:hAnsi="Arial"/>
          <w:b/>
          <w:bCs/>
          <w:color w:val="1E293B"/>
          <w:sz w:val="21"/>
          <w:szCs w:val="21"/>
        </w:rPr>
        <w:t xml:space="preserve">Multi-tenant architecture</w:t>
      </w:r>
      <w:r>
        <w:rPr>
          <w:rFonts w:ascii="Arial" w:cs="Arial" w:eastAsia="Arial" w:hAnsi="Arial"/>
          <w:color w:val="1E293B"/>
          <w:sz w:val="21"/>
          <w:szCs w:val="21"/>
        </w:rPr>
        <w:t xml:space="preserve"> with complete data isolation between state programs. Wisconsin PHP is the first program on the platform. Ohio, or any other state, becomes the next program with its own branding, compliance items, thresholds, and protocol cards. No code changes required.</w:t>
      </w:r>
    </w:p>
    <w:p>
      <w:pPr>
        <w:pStyle w:val="ListParagraph"/>
        <w:numPr>
          <w:ilvl w:val="0"/>
          <w:numId w:val="2"/>
        </w:numPr>
        <w:spacing w:after="40" w:before="40"/>
      </w:pPr>
      <w:r>
        <w:rPr>
          <w:rFonts w:ascii="Arial" w:cs="Arial" w:eastAsia="Arial" w:hAnsi="Arial"/>
          <w:b/>
          <w:bCs/>
          <w:color w:val="1E293B"/>
          <w:sz w:val="21"/>
          <w:szCs w:val="21"/>
        </w:rPr>
        <w:t xml:space="preserve">Temporal-first data model</w:t>
      </w:r>
      <w:r>
        <w:rPr>
          <w:rFonts w:ascii="Arial" w:cs="Arial" w:eastAsia="Arial" w:hAnsi="Arial"/>
          <w:color w:val="1E293B"/>
          <w:sz w:val="21"/>
          <w:szCs w:val="21"/>
        </w:rPr>
        <w:t xml:space="preserve"> where every score, every event, every status change is timestamped and preserved. Balances are derived, never stored. Full history is always available for trend analysis, ML training, and outcome measurement.</w:t>
      </w:r>
    </w:p>
    <w:p>
      <w:pPr>
        <w:pStyle w:val="ListParagraph"/>
        <w:numPr>
          <w:ilvl w:val="0"/>
          <w:numId w:val="2"/>
        </w:numPr>
        <w:spacing w:after="40" w:before="40"/>
      </w:pPr>
      <w:r>
        <w:rPr>
          <w:rFonts w:ascii="Arial" w:cs="Arial" w:eastAsia="Arial" w:hAnsi="Arial"/>
          <w:b/>
          <w:bCs/>
          <w:color w:val="1E293B"/>
          <w:sz w:val="21"/>
          <w:szCs w:val="21"/>
        </w:rPr>
        <w:t xml:space="preserve">Molecule abstraction layer</w:t>
      </w:r>
      <w:r>
        <w:rPr>
          <w:rFonts w:ascii="Arial" w:cs="Arial" w:eastAsia="Arial" w:hAnsi="Arial"/>
          <w:color w:val="1E293B"/>
          <w:sz w:val="21"/>
          <w:szCs w:val="21"/>
        </w:rPr>
        <w:t xml:space="preserve"> allowing any data point to attach to any activity or member without schema changes. Survey scores, signal types, compliance results, and clinical data all flow through the same universal data engine.</w:t>
      </w:r>
    </w:p>
    <w:p>
      <w:pPr>
        <w:pStyle w:val="ListParagraph"/>
        <w:numPr>
          <w:ilvl w:val="0"/>
          <w:numId w:val="2"/>
        </w:numPr>
        <w:spacing w:after="40" w:before="40"/>
      </w:pPr>
      <w:r>
        <w:rPr>
          <w:rFonts w:ascii="Arial" w:cs="Arial" w:eastAsia="Arial" w:hAnsi="Arial"/>
          <w:b/>
          <w:bCs/>
          <w:color w:val="1E293B"/>
          <w:sz w:val="21"/>
          <w:szCs w:val="21"/>
        </w:rPr>
        <w:t xml:space="preserve">Rules and promotion engine</w:t>
      </w:r>
      <w:r>
        <w:rPr>
          <w:rFonts w:ascii="Arial" w:cs="Arial" w:eastAsia="Arial" w:hAnsi="Arial"/>
          <w:color w:val="1E293B"/>
          <w:sz w:val="21"/>
          <w:szCs w:val="21"/>
        </w:rPr>
        <w:t xml:space="preserve"> that evaluates conditions and fires actions automatically. The same engine that triggers loyalty bonuses now detects sentinel compliance events and creates stability registry items.</w:t>
      </w:r>
    </w:p>
    <w:p>
      <w:pPr>
        <w:pStyle w:val="ListParagraph"/>
        <w:numPr>
          <w:ilvl w:val="0"/>
          <w:numId w:val="2"/>
        </w:numPr>
        <w:spacing w:after="40" w:before="40"/>
      </w:pPr>
      <w:r>
        <w:rPr>
          <w:rFonts w:ascii="Arial" w:cs="Arial" w:eastAsia="Arial" w:hAnsi="Arial"/>
          <w:b/>
          <w:bCs/>
          <w:color w:val="1E293B"/>
          <w:sz w:val="21"/>
          <w:szCs w:val="21"/>
        </w:rPr>
        <w:t xml:space="preserve">282 API endpoints</w:t>
      </w:r>
      <w:r>
        <w:rPr>
          <w:rFonts w:ascii="Arial" w:cs="Arial" w:eastAsia="Arial" w:hAnsi="Arial"/>
          <w:color w:val="1E293B"/>
          <w:sz w:val="21"/>
          <w:szCs w:val="21"/>
        </w:rPr>
        <w:t xml:space="preserve"> providing a complete backend for member management, activity processing, data retrieval, configuration, and administration.</w:t>
      </w:r>
    </w:p>
    <w:p>
      <w:pPr>
        <w:pStyle w:val="ListParagraph"/>
        <w:numPr>
          <w:ilvl w:val="0"/>
          <w:numId w:val="2"/>
        </w:numPr>
        <w:spacing w:after="40" w:before="40"/>
      </w:pPr>
      <w:r>
        <w:rPr>
          <w:rFonts w:ascii="Arial" w:cs="Arial" w:eastAsia="Arial" w:hAnsi="Arial"/>
          <w:b/>
          <w:bCs/>
          <w:color w:val="1E293B"/>
          <w:sz w:val="21"/>
          <w:szCs w:val="21"/>
        </w:rPr>
        <w:t xml:space="preserve">Session-based authentication</w:t>
      </w:r>
      <w:r>
        <w:rPr>
          <w:rFonts w:ascii="Arial" w:cs="Arial" w:eastAsia="Arial" w:hAnsi="Arial"/>
          <w:color w:val="1E293B"/>
          <w:sz w:val="21"/>
          <w:szCs w:val="21"/>
        </w:rPr>
        <w:t xml:space="preserve"> with tenant isolation, role-based access, and secure login.</w:t>
      </w:r>
    </w:p>
    <w:p>
      <w:pPr>
        <w:pStyle w:val="ListParagraph"/>
        <w:numPr>
          <w:ilvl w:val="0"/>
          <w:numId w:val="2"/>
        </w:numPr>
        <w:spacing w:after="80" w:before="40"/>
      </w:pPr>
      <w:r>
        <w:rPr>
          <w:rFonts w:ascii="Arial" w:cs="Arial" w:eastAsia="Arial" w:hAnsi="Arial"/>
          <w:b/>
          <w:bCs/>
          <w:color w:val="1E293B"/>
          <w:sz w:val="21"/>
          <w:szCs w:val="21"/>
        </w:rPr>
        <w:t xml:space="preserve">Database migration system</w:t>
      </w:r>
      <w:r>
        <w:rPr>
          <w:rFonts w:ascii="Arial" w:cs="Arial" w:eastAsia="Arial" w:hAnsi="Arial"/>
          <w:color w:val="1E293B"/>
          <w:sz w:val="21"/>
          <w:szCs w:val="21"/>
        </w:rPr>
        <w:t xml:space="preserve"> ensuring safe, version-controlled schema changes with automatic startup validation.</w:t>
      </w:r>
    </w:p>
    <w:p>
      <w:pPr>
        <w:pBdr>
          <w:bottom w:val="single" w:color="2E75B6" w:sz="6" w:space="1"/>
        </w:pBdr>
        <w:spacing w:after="200" w:before="200"/>
      </w:pPr>
    </w:p>
    <w:p>
      <w:pPr>
        <w:spacing w:after="200" w:before="360"/>
      </w:pPr>
      <w:r>
        <w:rPr>
          <w:rFonts w:ascii="Arial" w:cs="Arial" w:eastAsia="Arial" w:hAnsi="Arial"/>
          <w:b/>
          <w:bCs/>
          <w:color w:val="1B3A5C"/>
          <w:sz w:val="28"/>
          <w:szCs w:val="28"/>
        </w:rPr>
        <w:t xml:space="preserve">Stream A: PPSI Self-Report Survey</w:t>
      </w:r>
    </w:p>
    <w:p>
      <w:pPr>
        <w:spacing w:after="60" w:before="60"/>
      </w:pPr>
      <w:r>
        <w:rPr>
          <w:rFonts w:ascii="Arial" w:cs="Arial" w:eastAsia="Arial" w:hAnsi="Arial"/>
          <w:color w:val="1E293B"/>
          <w:sz w:val="21"/>
          <w:szCs w:val="21"/>
        </w:rPr>
        <w:t xml:space="preserve">Dr. Larson's 34-item Predictive Professional Stability Index, fully implemented. 8 sections, scored 0-3 per item, maximum 102. Physicians complete weekly via mobile in under 2 minutes.</w:t>
      </w:r>
    </w:p>
    <w:p>
      <w:pPr>
        <w:pStyle w:val="ListParagraph"/>
        <w:numPr>
          <w:ilvl w:val="0"/>
          <w:numId w:val="3"/>
        </w:numPr>
        <w:spacing w:after="40" w:before="40"/>
      </w:pPr>
      <w:r>
        <w:rPr>
          <w:rFonts w:ascii="Arial" w:cs="Arial" w:eastAsia="Arial" w:hAnsi="Arial"/>
          <w:color w:val="1E293B"/>
          <w:sz w:val="21"/>
          <w:szCs w:val="21"/>
        </w:rPr>
        <w:t xml:space="preserve">Full survey instrument in database with scoring</w:t>
      </w:r>
    </w:p>
    <w:p>
      <w:pPr>
        <w:pStyle w:val="ListParagraph"/>
        <w:numPr>
          <w:ilvl w:val="0"/>
          <w:numId w:val="3"/>
        </w:numPr>
        <w:spacing w:after="40" w:before="40"/>
      </w:pPr>
      <w:r>
        <w:rPr>
          <w:rFonts w:ascii="Arial" w:cs="Arial" w:eastAsia="Arial" w:hAnsi="Arial"/>
          <w:color w:val="1E293B"/>
          <w:sz w:val="21"/>
          <w:szCs w:val="21"/>
        </w:rPr>
        <w:t xml:space="preserve">Mini PPSI (8-question weekly check-in) running in physician mobile app</w:t>
      </w:r>
    </w:p>
    <w:p>
      <w:pPr>
        <w:pStyle w:val="ListParagraph"/>
        <w:numPr>
          <w:ilvl w:val="0"/>
          <w:numId w:val="3"/>
        </w:numPr>
        <w:spacing w:after="40" w:before="40"/>
      </w:pPr>
      <w:r>
        <w:rPr>
          <w:rFonts w:ascii="Arial" w:cs="Arial" w:eastAsia="Arial" w:hAnsi="Arial"/>
          <w:color w:val="1E293B"/>
          <w:sz w:val="21"/>
          <w:szCs w:val="21"/>
        </w:rPr>
        <w:t xml:space="preserve">Sentinel detection: any question scoring 3 or Global Stability = 3 auto-triggers registry item</w:t>
      </w:r>
    </w:p>
    <w:p>
      <w:pPr>
        <w:pStyle w:val="ListParagraph"/>
        <w:numPr>
          <w:ilvl w:val="0"/>
          <w:numId w:val="3"/>
        </w:numPr>
        <w:spacing w:after="40" w:before="40"/>
      </w:pPr>
      <w:r>
        <w:rPr>
          <w:rFonts w:ascii="Arial" w:cs="Arial" w:eastAsia="Arial" w:hAnsi="Arial"/>
          <w:color w:val="1E293B"/>
          <w:sz w:val="21"/>
          <w:szCs w:val="21"/>
        </w:rPr>
        <w:t xml:space="preserve">Dashboard displays PPII scores, trend arrows, and sparklines for all enrolled physicians</w:t>
      </w:r>
    </w:p>
    <w:p>
      <w:pPr>
        <w:spacing w:after="200" w:before="360"/>
      </w:pPr>
      <w:r>
        <w:rPr>
          <w:rFonts w:ascii="Arial" w:cs="Arial" w:eastAsia="Arial" w:hAnsi="Arial"/>
          <w:b/>
          <w:bCs/>
          <w:color w:val="1B3A5C"/>
          <w:sz w:val="28"/>
          <w:szCs w:val="28"/>
        </w:rPr>
        <w:t xml:space="preserve">Stream B: Compliance Tracking</w:t>
      </w:r>
    </w:p>
    <w:p>
      <w:pPr>
        <w:spacing w:after="60" w:before="60"/>
      </w:pPr>
      <w:r>
        <w:rPr>
          <w:rFonts w:ascii="Arial" w:cs="Arial" w:eastAsia="Arial" w:hAnsi="Arial"/>
          <w:color w:val="1E293B"/>
          <w:sz w:val="21"/>
          <w:szCs w:val="21"/>
        </w:rPr>
        <w:t xml:space="preserve">Six compliance items with weighted scoring per Dr. Larson's specifications. Positive confirmation model (staff enters completions; absence triggers detection).</w:t>
      </w:r>
    </w:p>
    <w:p>
      <w:pPr>
        <w:pStyle w:val="ListParagraph"/>
        <w:numPr>
          <w:ilvl w:val="0"/>
          <w:numId w:val="3"/>
        </w:numPr>
        <w:spacing w:after="40" w:before="40"/>
      </w:pPr>
      <w:r>
        <w:rPr>
          <w:rFonts w:ascii="Arial" w:cs="Arial" w:eastAsia="Arial" w:hAnsi="Arial"/>
          <w:color w:val="1E293B"/>
          <w:sz w:val="21"/>
          <w:szCs w:val="21"/>
        </w:rPr>
        <w:t xml:space="preserve">Drug Test Completion (25%), Drug Test Results (35%), Check-In Attendance (10%), Appointment Attendance (10%), Program Status Change (10%), Monitoring Engagement (10%)</w:t>
      </w:r>
    </w:p>
    <w:p>
      <w:pPr>
        <w:pStyle w:val="ListParagraph"/>
        <w:numPr>
          <w:ilvl w:val="0"/>
          <w:numId w:val="3"/>
        </w:numPr>
        <w:spacing w:after="40" w:before="40"/>
      </w:pPr>
      <w:r>
        <w:rPr>
          <w:rFonts w:ascii="Arial" w:cs="Arial" w:eastAsia="Arial" w:hAnsi="Arial"/>
          <w:color w:val="1E293B"/>
          <w:sz w:val="21"/>
          <w:szCs w:val="21"/>
        </w:rPr>
        <w:t xml:space="preserve">24 statuses across all items, 42 member assignments</w:t>
      </w:r>
    </w:p>
    <w:p>
      <w:pPr>
        <w:pStyle w:val="ListParagraph"/>
        <w:numPr>
          <w:ilvl w:val="0"/>
          <w:numId w:val="3"/>
        </w:numPr>
        <w:spacing w:after="40" w:before="40"/>
      </w:pPr>
      <w:r>
        <w:rPr>
          <w:rFonts w:ascii="Arial" w:cs="Arial" w:eastAsia="Arial" w:hAnsi="Arial"/>
          <w:color w:val="1E293B"/>
          <w:sz w:val="21"/>
          <w:szCs w:val="21"/>
        </w:rPr>
        <w:t xml:space="preserve">Sentinel detection for confirmed positive drug test, specimen tampering, refusal, program suspension</w:t>
      </w:r>
    </w:p>
    <w:p>
      <w:pPr>
        <w:pStyle w:val="ListParagraph"/>
        <w:numPr>
          <w:ilvl w:val="0"/>
          <w:numId w:val="3"/>
        </w:numPr>
        <w:spacing w:after="40" w:before="40"/>
      </w:pPr>
      <w:r>
        <w:rPr>
          <w:rFonts w:ascii="Arial" w:cs="Arial" w:eastAsia="Arial" w:hAnsi="Arial"/>
          <w:color w:val="1E293B"/>
          <w:sz w:val="21"/>
          <w:szCs w:val="21"/>
        </w:rPr>
        <w:t xml:space="preserve">Full compliance entry UI, history view, per-physician compliance management</w:t>
      </w:r>
    </w:p>
    <w:p>
      <w:pPr>
        <w:spacing w:after="200" w:before="360"/>
      </w:pPr>
      <w:r>
        <w:rPr>
          <w:rFonts w:ascii="Arial" w:cs="Arial" w:eastAsia="Arial" w:hAnsi="Arial"/>
          <w:b/>
          <w:bCs/>
          <w:color w:val="1B3A5C"/>
          <w:sz w:val="28"/>
          <w:szCs w:val="28"/>
        </w:rPr>
        <w:t xml:space="preserve">Stream C: Provider Pulse Survey</w:t>
      </w:r>
    </w:p>
    <w:p>
      <w:pPr>
        <w:spacing w:after="60" w:before="60"/>
      </w:pPr>
      <w:r>
        <w:rPr>
          <w:rFonts w:ascii="Arial" w:cs="Arial" w:eastAsia="Arial" w:hAnsi="Arial"/>
          <w:color w:val="1E293B"/>
          <w:sz w:val="21"/>
          <w:szCs w:val="21"/>
        </w:rPr>
        <w:t xml:space="preserve">Dr. Larson's clinician-completed instrument. 14 items, 7 sections, scored 0-3, maximum 42. Completed monthly or after clinical encounters in 30-60 seconds.</w:t>
      </w:r>
    </w:p>
    <w:p>
      <w:pPr>
        <w:pStyle w:val="ListParagraph"/>
        <w:numPr>
          <w:ilvl w:val="0"/>
          <w:numId w:val="3"/>
        </w:numPr>
        <w:spacing w:after="40" w:before="40"/>
      </w:pPr>
      <w:r>
        <w:rPr>
          <w:rFonts w:ascii="Arial" w:cs="Arial" w:eastAsia="Arial" w:hAnsi="Arial"/>
          <w:color w:val="1E293B"/>
          <w:sz w:val="21"/>
          <w:szCs w:val="21"/>
        </w:rPr>
        <w:t xml:space="preserve">Full multi-step flow: select physician, select respondent, confirmation, 14-question survey, scoring, accrual</w:t>
      </w:r>
    </w:p>
    <w:p>
      <w:pPr>
        <w:pStyle w:val="ListParagraph"/>
        <w:numPr>
          <w:ilvl w:val="0"/>
          <w:numId w:val="3"/>
        </w:numPr>
        <w:spacing w:after="40" w:before="40"/>
      </w:pPr>
      <w:r>
        <w:rPr>
          <w:rFonts w:ascii="Arial" w:cs="Arial" w:eastAsia="Arial" w:hAnsi="Arial"/>
          <w:color w:val="1E293B"/>
          <w:sz w:val="21"/>
          <w:szCs w:val="21"/>
        </w:rPr>
        <w:t xml:space="preserve">Respondent tracking with clinician relationship management</w:t>
      </w:r>
    </w:p>
    <w:p>
      <w:pPr>
        <w:pStyle w:val="ListParagraph"/>
        <w:numPr>
          <w:ilvl w:val="0"/>
          <w:numId w:val="3"/>
        </w:numPr>
        <w:spacing w:after="40" w:before="40"/>
      </w:pPr>
      <w:r>
        <w:rPr>
          <w:rFonts w:ascii="Arial" w:cs="Arial" w:eastAsia="Arial" w:hAnsi="Arial"/>
          <w:color w:val="1E293B"/>
          <w:sz w:val="21"/>
          <w:szCs w:val="21"/>
        </w:rPr>
        <w:t xml:space="preserve">Independent Provider Stability Alert (Immediate / Emerging / No Concern)</w:t>
      </w:r>
    </w:p>
    <w:p>
      <w:pPr>
        <w:pStyle w:val="ListParagraph"/>
        <w:numPr>
          <w:ilvl w:val="0"/>
          <w:numId w:val="3"/>
        </w:numPr>
        <w:spacing w:after="40" w:before="40"/>
      </w:pPr>
      <w:r>
        <w:rPr>
          <w:rFonts w:ascii="Arial" w:cs="Arial" w:eastAsia="Arial" w:hAnsi="Arial"/>
          <w:color w:val="1E293B"/>
          <w:sz w:val="21"/>
          <w:szCs w:val="21"/>
        </w:rPr>
        <w:t xml:space="preserve">Any individual question scoring 3 triggers automatic escalation</w:t>
      </w:r>
    </w:p>
    <w:p>
      <w:pPr>
        <w:spacing w:after="200" w:before="360"/>
      </w:pPr>
      <w:r>
        <w:rPr>
          <w:rFonts w:ascii="Arial" w:cs="Arial" w:eastAsia="Arial" w:hAnsi="Arial"/>
          <w:b/>
          <w:bCs/>
          <w:color w:val="1B3A5C"/>
          <w:sz w:val="28"/>
          <w:szCs w:val="28"/>
        </w:rPr>
        <w:t xml:space="preserve">Stream G: Rapid Event Reporting</w:t>
      </w:r>
    </w:p>
    <w:p>
      <w:pPr>
        <w:spacing w:after="60" w:before="60"/>
      </w:pPr>
      <w:r>
        <w:rPr>
          <w:rFonts w:ascii="Arial" w:cs="Arial" w:eastAsia="Arial" w:hAnsi="Arial"/>
          <w:color w:val="1E293B"/>
          <w:sz w:val="21"/>
          <w:szCs w:val="21"/>
        </w:rPr>
        <w:t xml:space="preserve">15-second event entry with category dropdown and severity slider (0-3). Both staff and physicians can report.</w:t>
      </w:r>
    </w:p>
    <w:p>
      <w:pPr>
        <w:pStyle w:val="ListParagraph"/>
        <w:numPr>
          <w:ilvl w:val="0"/>
          <w:numId w:val="3"/>
        </w:numPr>
        <w:spacing w:after="40" w:before="40"/>
      </w:pPr>
      <w:r>
        <w:rPr>
          <w:rFonts w:ascii="Arial" w:cs="Arial" w:eastAsia="Arial" w:hAnsi="Arial"/>
          <w:color w:val="1E293B"/>
          <w:sz w:val="21"/>
          <w:szCs w:val="21"/>
        </w:rPr>
        <w:t xml:space="preserve">Entry from dashboard, clinic page, physician detail, physician portal, and mobile app</w:t>
      </w:r>
    </w:p>
    <w:p>
      <w:pPr>
        <w:pStyle w:val="ListParagraph"/>
        <w:numPr>
          <w:ilvl w:val="0"/>
          <w:numId w:val="3"/>
        </w:numPr>
        <w:spacing w:after="40" w:before="40"/>
      </w:pPr>
      <w:r>
        <w:rPr>
          <w:rFonts w:ascii="Arial" w:cs="Arial" w:eastAsia="Arial" w:hAnsi="Arial"/>
          <w:color w:val="1E293B"/>
          <w:sz w:val="21"/>
          <w:szCs w:val="21"/>
        </w:rPr>
        <w:t xml:space="preserve">Severity 3 events auto-trigger SENTINEL registry items</w:t>
      </w:r>
    </w:p>
    <w:p>
      <w:pPr>
        <w:pStyle w:val="ListParagraph"/>
        <w:numPr>
          <w:ilvl w:val="0"/>
          <w:numId w:val="3"/>
        </w:numPr>
        <w:spacing w:after="40" w:before="40"/>
      </w:pPr>
      <w:r>
        <w:rPr>
          <w:rFonts w:ascii="Arial" w:cs="Arial" w:eastAsia="Arial" w:hAnsi="Arial"/>
          <w:color w:val="1E293B"/>
          <w:sz w:val="21"/>
          <w:szCs w:val="21"/>
        </w:rPr>
        <w:t xml:space="preserve">Categories tied to dominant driver routing</w:t>
      </w:r>
    </w:p>
    <w:p>
      <w:r>
        <w:br w:type="page"/>
      </w:r>
    </w:p>
    <w:p>
      <w:pPr>
        <w:spacing w:after="200" w:before="360"/>
      </w:pPr>
      <w:r>
        <w:rPr>
          <w:rFonts w:ascii="Arial" w:cs="Arial" w:eastAsia="Arial" w:hAnsi="Arial"/>
          <w:b/>
          <w:bCs/>
          <w:color w:val="1B3A5C"/>
          <w:sz w:val="28"/>
          <w:szCs w:val="28"/>
        </w:rPr>
        <w:t xml:space="preserve">PPII Composite Scoring</w:t>
      </w:r>
    </w:p>
    <w:p>
      <w:pPr>
        <w:spacing w:after="60" w:before="60"/>
      </w:pPr>
      <w:r>
        <w:rPr>
          <w:rFonts w:ascii="Arial" w:cs="Arial" w:eastAsia="Arial" w:hAnsi="Arial"/>
          <w:color w:val="1E293B"/>
          <w:sz w:val="21"/>
          <w:szCs w:val="21"/>
        </w:rPr>
        <w:t xml:space="preserve">Four-stream weighted composite calculated automatically after every data entry across any stream. Dr. Larson's formula:</w:t>
      </w:r>
    </w:p>
    <w:p>
      <w:pPr>
        <w:spacing w:after="120" w:before="120"/>
        <w:jc w:val="center"/>
      </w:pPr>
      <w:r>
        <w:rPr>
          <w:rFonts w:ascii="Arial" w:cs="Arial" w:eastAsia="Arial" w:hAnsi="Arial"/>
          <w:b/>
          <w:bCs/>
          <w:color w:val="1B3A5C"/>
          <w:sz w:val="21"/>
          <w:szCs w:val="21"/>
        </w:rPr>
        <w:t xml:space="preserve">PPII = (0.35 x Provider Pulse) + (0.25 x PPSI) + (0.25 x Compliance) + (0.15 x Events)</w:t>
      </w:r>
    </w:p>
    <w:p>
      <w:pPr>
        <w:spacing w:after="60" w:before="60"/>
      </w:pPr>
      <w:r>
        <w:rPr>
          <w:rFonts w:ascii="Arial" w:cs="Arial" w:eastAsia="Arial" w:hAnsi="Arial"/>
          <w:color w:val="1E293B"/>
          <w:sz w:val="21"/>
          <w:szCs w:val="21"/>
        </w:rPr>
        <w:t xml:space="preserve">Maps to 0-100 scale. Drives Green/Yellow/Orange/Red tier assignment. Threshold crossings automatically create stability registry items.</w:t>
      </w:r>
    </w:p>
    <w:p>
      <w:pPr>
        <w:spacing w:after="200" w:before="360"/>
      </w:pPr>
      <w:r>
        <w:rPr>
          <w:rFonts w:ascii="Arial" w:cs="Arial" w:eastAsia="Arial" w:hAnsi="Arial"/>
          <w:b/>
          <w:bCs/>
          <w:color w:val="1B3A5C"/>
          <w:sz w:val="28"/>
          <w:szCs w:val="28"/>
        </w:rPr>
        <w:t xml:space="preserve">Stability Registry &amp; Action Queue</w:t>
      </w:r>
    </w:p>
    <w:p>
      <w:pPr>
        <w:spacing w:after="60" w:before="60"/>
      </w:pPr>
      <w:r>
        <w:rPr>
          <w:rFonts w:ascii="Arial" w:cs="Arial" w:eastAsia="Arial" w:hAnsi="Arial"/>
          <w:color w:val="1E293B"/>
          <w:sz w:val="21"/>
          <w:szCs w:val="21"/>
        </w:rPr>
        <w:t xml:space="preserve">The central clinical worklist. Every condition requiring attention creates a registry item. A physician's current risk color is derived in real time from their most severe open registry item.</w:t>
      </w:r>
    </w:p>
    <w:p>
      <w:pPr>
        <w:pStyle w:val="ListParagraph"/>
        <w:numPr>
          <w:ilvl w:val="0"/>
          <w:numId w:val="3"/>
        </w:numPr>
        <w:spacing w:after="40" w:before="40"/>
      </w:pPr>
      <w:r>
        <w:rPr>
          <w:rFonts w:ascii="Arial" w:cs="Arial" w:eastAsia="Arial" w:hAnsi="Arial"/>
          <w:color w:val="1E293B"/>
          <w:sz w:val="21"/>
          <w:szCs w:val="21"/>
        </w:rPr>
        <w:t xml:space="preserve">Urgency-sorted display: Sentinel, Red, Orange, Yellow, Green</w:t>
      </w:r>
    </w:p>
    <w:p>
      <w:pPr>
        <w:pStyle w:val="ListParagraph"/>
        <w:numPr>
          <w:ilvl w:val="0"/>
          <w:numId w:val="3"/>
        </w:numPr>
        <w:spacing w:after="40" w:before="40"/>
      </w:pPr>
      <w:r>
        <w:rPr>
          <w:rFonts w:ascii="Arial" w:cs="Arial" w:eastAsia="Arial" w:hAnsi="Arial"/>
          <w:color w:val="1E293B"/>
          <w:sz w:val="21"/>
          <w:szCs w:val="21"/>
        </w:rPr>
        <w:t xml:space="preserve">SLA tracking with visual badges per Dr. Larson's response timelines</w:t>
      </w:r>
    </w:p>
    <w:p>
      <w:pPr>
        <w:pStyle w:val="ListParagraph"/>
        <w:numPr>
          <w:ilvl w:val="0"/>
          <w:numId w:val="3"/>
        </w:numPr>
        <w:spacing w:after="40" w:before="40"/>
      </w:pPr>
      <w:r>
        <w:rPr>
          <w:rFonts w:ascii="Arial" w:cs="Arial" w:eastAsia="Arial" w:hAnsi="Arial"/>
          <w:color w:val="1E293B"/>
          <w:sz w:val="21"/>
          <w:szCs w:val="21"/>
        </w:rPr>
        <w:t xml:space="preserve">Resolve workflow with notes</w:t>
      </w:r>
    </w:p>
    <w:p>
      <w:pPr>
        <w:pStyle w:val="ListParagraph"/>
        <w:numPr>
          <w:ilvl w:val="0"/>
          <w:numId w:val="3"/>
        </w:numPr>
        <w:spacing w:after="40" w:before="40"/>
      </w:pPr>
      <w:r>
        <w:rPr>
          <w:rFonts w:ascii="Arial" w:cs="Arial" w:eastAsia="Arial" w:hAnsi="Arial"/>
          <w:color w:val="1E293B"/>
          <w:sz w:val="21"/>
          <w:szCs w:val="21"/>
        </w:rPr>
        <w:t xml:space="preserve">Clinic-scoped filtering</w:t>
      </w:r>
    </w:p>
    <w:p>
      <w:pPr>
        <w:pStyle w:val="ListParagraph"/>
        <w:numPr>
          <w:ilvl w:val="0"/>
          <w:numId w:val="3"/>
        </w:numPr>
        <w:spacing w:after="40" w:before="40"/>
      </w:pPr>
      <w:r>
        <w:rPr>
          <w:rFonts w:ascii="Arial" w:cs="Arial" w:eastAsia="Arial" w:hAnsi="Arial"/>
          <w:color w:val="1E293B"/>
          <w:sz w:val="21"/>
          <w:szCs w:val="21"/>
        </w:rPr>
        <w:t xml:space="preserve">Full audit trail with history views (by user, by clinic, global) and undo capability</w:t>
      </w:r>
    </w:p>
    <w:p>
      <w:pPr>
        <w:spacing w:after="200" w:before="360"/>
      </w:pPr>
      <w:r>
        <w:rPr>
          <w:rFonts w:ascii="Arial" w:cs="Arial" w:eastAsia="Arial" w:hAnsi="Arial"/>
          <w:b/>
          <w:bCs/>
          <w:color w:val="1B3A5C"/>
          <w:sz w:val="28"/>
          <w:szCs w:val="28"/>
        </w:rPr>
        <w:t xml:space="preserve">Automated Trigger Paths</w:t>
      </w:r>
    </w:p>
    <w:p>
      <w:pPr>
        <w:spacing w:after="60" w:before="60"/>
      </w:pPr>
      <w:r>
        <w:rPr>
          <w:rFonts w:ascii="Arial" w:cs="Arial" w:eastAsia="Arial" w:hAnsi="Arial"/>
          <w:color w:val="1E293B"/>
          <w:sz w:val="21"/>
          <w:szCs w:val="21"/>
        </w:rPr>
        <w:t xml:space="preserve">7 of 10 direct triggers tested and working end-to-end. Each trigger flows through the rules engine automatically: data entry creates a signal molecule, the promotion engine detects it, and the appropriate registry item is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c>
          <w:tcPr>
            <w:tcW w:type="dxa" w:w="36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w:t>
            </w:r>
          </w:p>
        </w:tc>
        <w:tc>
          <w:tcPr>
            <w:tcW w:type="dxa" w:w="33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w:t>
            </w:r>
          </w:p>
        </w:tc>
        <w:tc>
          <w:tcPr>
            <w:tcW w:type="dxa" w:w="24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Sentinel Compliance (positive, refused, suspended)</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SENTINEL_POSITIVE / REFUSED / SUSPENDED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Tested</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Provider Stability Alert: Immediate</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STABILITY_IMMEDIATE</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Tested</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Provider Emerging Concern</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STABILITY_EMERGING</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Tested</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Event Severity 3</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EVENT_SEVERITY_3</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Tested</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Provider Pulse Question &gt;= 3</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PULSE_Q3</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Tested</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PPSI Question &gt;= 3</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PULSE_Q3 (reused)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Built</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PPSI Global Stability = 3</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STABILITY_IMMEDIATE (reused)</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Built</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PPII Composite Threshold Crossing</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PPII_RED / ORANGE / YELLOW</w:t>
            </w:r>
          </w:p>
        </w:tc>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Wired</w:t>
            </w:r>
          </w:p>
        </w:tc>
      </w:tr>
    </w:tbl>
    <w:p>
      <w:r>
        <w:br w:type="page"/>
      </w:r>
    </w:p>
    <w:p>
      <w:pPr>
        <w:spacing w:after="200" w:before="360"/>
      </w:pPr>
      <w:r>
        <w:rPr>
          <w:rFonts w:ascii="Arial" w:cs="Arial" w:eastAsia="Arial" w:hAnsi="Arial"/>
          <w:b/>
          <w:bCs/>
          <w:color w:val="1B3A5C"/>
          <w:sz w:val="28"/>
          <w:szCs w:val="28"/>
        </w:rPr>
        <w:t xml:space="preserve">Application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6560"/>
            <w:tcBorders>
              <w:top w:val="single" w:color="D0D5DD" w:sz="1"/>
              <w:left w:val="single" w:color="D0D5DD" w:sz="1"/>
              <w:bottom w:val="single" w:color="D0D5DD" w:sz="1"/>
              <w:right w:val="single" w:color="D0D5DD"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Wellness Dashboard</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Main entry point. Four navigation cards. Physician roster with color badges, PPII scores, trend indicators, and sparklines.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Clinic View</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Physician roster scoped by clinic. Compliance entry, event entry, Provider Pulse launch, search.</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Stability Registry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Priority worklist sorted by urgency. SLA badges, filter chips, resolve workflow, audit history with undo.</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Physician Detail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Full activity timeline, drill-down modals, registry items, summary strip, compliance and event entry.</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Physician Portal</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Physician-facing view (will be SSO). Weekly Check-In, Report Event, Open Mobile App. Pre-choice search: all physicians or by clinic.</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Mobile App</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PPSI self-report (Mini PPSI weekly check-in), event reporting, personalized dashboard.</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Compliance Member</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Per-physician compliance history and entry. Manage compliance item assignments.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b/>
                <w:bCs/>
                <w:color w:val="1E293B"/>
                <w:sz w:val="19"/>
                <w:szCs w:val="19"/>
              </w:rPr>
              <w:t xml:space="preserve">Registry History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vAlign w:val="center"/>
          </w:tcPr>
          <w:p>
            <w:pPr>
              <w:jc w:val="left"/>
            </w:pPr>
            <w:r>
              <w:rPr>
                <w:rFonts w:ascii="Arial" w:cs="Arial" w:eastAsia="Arial" w:hAnsi="Arial"/>
                <w:color w:val="1E293B"/>
                <w:sz w:val="19"/>
                <w:szCs w:val="19"/>
              </w:rPr>
              <w:t xml:space="preserve">Full audit trail of all registry actions. Three views: all activity, by clinic, by user. Reopen capability.</w:t>
            </w:r>
          </w:p>
        </w:tc>
      </w:tr>
    </w:tbl>
    <w:p>
      <w:pPr>
        <w:spacing w:after="200" w:before="360"/>
      </w:pPr>
      <w:r>
        <w:rPr>
          <w:rFonts w:ascii="Arial" w:cs="Arial" w:eastAsia="Arial" w:hAnsi="Arial"/>
          <w:b/>
          <w:bCs/>
          <w:color w:val="1B3A5C"/>
          <w:sz w:val="28"/>
          <w:szCs w:val="28"/>
        </w:rPr>
        <w:t xml:space="preserve">Integration-Ready Design</w:t>
      </w:r>
    </w:p>
    <w:p>
      <w:pPr>
        <w:spacing w:after="60" w:before="60"/>
      </w:pPr>
      <w:r>
        <w:rPr>
          <w:rFonts w:ascii="Arial" w:cs="Arial" w:eastAsia="Arial" w:hAnsi="Arial"/>
          <w:color w:val="1E293B"/>
          <w:sz w:val="21"/>
          <w:szCs w:val="21"/>
        </w:rPr>
        <w:t xml:space="preserve">The platform is designed for full integration with external systems in production: physicians authenticate via SSO, drug test results arrive through automated data exchange, EHR scheduling feeds populate operational strain metrics, and wearable data flows in through device APIs.</w:t>
      </w:r>
    </w:p>
    <w:p>
      <w:pPr>
        <w:spacing w:after="60" w:before="60"/>
      </w:pPr>
      <w:r>
        <w:rPr>
          <w:rFonts w:ascii="Arial" w:cs="Arial" w:eastAsia="Arial" w:hAnsi="Arial"/>
          <w:color w:val="1E293B"/>
          <w:sz w:val="21"/>
          <w:szCs w:val="21"/>
        </w:rPr>
        <w:t xml:space="preserve">For the pilot phase, each of these integration points has a functional stand-in built into the platform. Physician lookup emulates the SSO path. Compliance entry emulates automated drug test feeds. Event reporting emulates EHR and wearable inputs. The platform is fully usable today, and each stand-in is a clean swap point when integrations go live.</w:t>
      </w:r>
    </w:p>
    <w:p>
      <w:pPr>
        <w:pBdr>
          <w:bottom w:val="single" w:color="2E75B6" w:sz="6" w:space="1"/>
        </w:pBdr>
        <w:spacing w:after="200" w:before="200"/>
      </w:pPr>
    </w:p>
    <w:p>
      <w:pPr>
        <w:spacing w:after="200" w:before="360"/>
      </w:pPr>
      <w:r>
        <w:rPr>
          <w:rFonts w:ascii="Arial" w:cs="Arial" w:eastAsia="Arial" w:hAnsi="Arial"/>
          <w:b/>
          <w:bCs/>
          <w:color w:val="1B3A5C"/>
          <w:sz w:val="28"/>
          <w:szCs w:val="28"/>
        </w:rPr>
        <w:t xml:space="preserve">Built for Multi-State Expansion</w:t>
      </w:r>
    </w:p>
    <w:p>
      <w:pPr>
        <w:spacing w:after="60" w:before="60"/>
      </w:pPr>
      <w:r>
        <w:rPr>
          <w:rFonts w:ascii="Arial" w:cs="Arial" w:eastAsia="Arial" w:hAnsi="Arial"/>
          <w:color w:val="1E293B"/>
          <w:sz w:val="21"/>
          <w:szCs w:val="21"/>
        </w:rPr>
        <w:t xml:space="preserve">The platform was architected from the beginning for multi-state deployment. Each state program operates as an independent tenant with complete data isolation, its own branding, compliance items, signal thresholds, scoring weights, and protocol cards. Onboarding a new state requires configuration, not engineering.</w:t>
      </w:r>
    </w:p>
    <w:p>
      <w:pPr>
        <w:spacing w:after="60" w:before="60"/>
      </w:pPr>
      <w:r>
        <w:rPr>
          <w:rFonts w:ascii="Arial" w:cs="Arial" w:eastAsia="Arial" w:hAnsi="Arial"/>
          <w:color w:val="1E293B"/>
          <w:sz w:val="21"/>
          <w:szCs w:val="21"/>
        </w:rPr>
        <w:t xml:space="preserve">Wisconsin PHP is the first state program on the platform. Adding the next state is a configuration exercise, not an engineering project. Same engine, same codebase, same deployment. Per-state customization through configuration, not code forks.</w:t>
      </w:r>
    </w:p>
    <w:p>
      <w:pPr>
        <w:spacing w:after="60" w:before="60"/>
      </w:pPr>
      <w:r>
        <w:rPr>
          <w:rFonts w:ascii="Arial" w:cs="Arial" w:eastAsia="Arial" w:hAnsi="Arial"/>
          <w:color w:val="1E293B"/>
          <w:sz w:val="21"/>
          <w:szCs w:val="21"/>
        </w:rPr>
        <w:t xml:space="preserve">This architecture directly supports the vision of a national platform serving all 48 states that need physician wellness monitoring, with de-identified aggregation available for national benchmarking while maintaining strict per-state data isolation.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Primada  |  Insight Health Solutions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0694fd11d29a21eddb756a8cb96e72dc57d3d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2026-03-18T16:43:53.200Z</dcterms:created>
  <dcterms:modified xsi:type="dcterms:W3CDTF">2026-03-18T16:43:53.201Z</dcterms:modified>
</cp:coreProperties>
</file>

<file path=docProps/custom.xml><?xml version="1.0" encoding="utf-8"?>
<Properties xmlns="http://schemas.openxmlformats.org/officeDocument/2006/custom-properties" xmlns:vt="http://schemas.openxmlformats.org/officeDocument/2006/docPropsVTypes"/>
</file>