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PI² Master Build List</w:t>
      </w:r>
    </w:p>
    <w:p>
      <w:pPr>
        <w:spacing w:after="240"/>
      </w:pPr>
      <w:r>
        <w:rPr>
          <w:b/>
          <w:bCs/>
          <w:color w:val="555555"/>
        </w:rPr>
        <w:t xml:space="preserve">Edition 3 · July 31, 2026</w:t>
      </w:r>
    </w:p>
    <w:p>
      <w:pPr>
        <w:spacing w:after="120"/>
      </w:pPr>
      <w:r>
        <w:t xml:space="preserve">Erica — the weekly edition, as promised. The headline this week is your #3: the Network Directory is live, and the first piece of its second phase — the privacy wall around participant selections — is built and running. Three asks, two of them carried: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If anything is missing, add it.</w:t>
      </w:r>
      <w:r>
        <w:t xml:space="preserve"> Same standing rule — if you've asked for something and it isn't here, say so and it goes on the list.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Washington wish-list ranking</w:t>
      </w:r>
      <w:r>
        <w:t xml:space="preserve">, whenever you get to it — the section below still holds its place.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Your document access rules</w:t>
      </w:r>
      <w:r>
        <w:t xml:space="preserve"> — still the one decision standing between the Document Repository (your #1) and real files, and now also part of what unlocks the directory's sharing step.</w:t>
      </w:r>
    </w:p>
    <w:p>
      <w:pPr>
        <w:pStyle w:val="Heading1"/>
        <w:spacing w:after="120" w:before="280"/>
      </w:pPr>
      <w:r>
        <w:t xml:space="preserve">✅ Recently completed — everything below is LIVE on your site</w:t>
      </w:r>
    </w:p>
    <w:p>
      <w:pPr>
        <w:spacing w:after="120"/>
      </w:pPr>
      <w:r>
        <w:rPr>
          <w:b/>
          <w:bCs/>
        </w:rPr>
        <w:t xml:space="preserve">July 24 — the Network Directory, Phase 1 (your #3, built to your specification):</w:t>
      </w:r>
      <w:r>
        <w:t xml:space="preserve"> both sections live side by side — your program's own network and the IHS Network Directory — with the three-way program setting (IHS only / program only / both), Listed and Verified states, neutral alphabetical ordering (verification is a badge and a filter, never a rank), cost in the detail view only, and your Appendix A wording exactly. The participant page works without a login, for screening completers as well as participants. </w:t>
      </w:r>
      <w:r>
        <w:rPr>
          <w:b/>
          <w:bCs/>
        </w:rPr>
        <w:t xml:space="preserve">The directory starts empty on purpose — your team fills it.</w:t>
      </w:r>
      <w:r>
        <w:t xml:space="preserve"> Your program's management screen and the IHS network screen are both under settings; verification changes are restricted to platform administration, exactly as your spec separates the governance.</w:t>
      </w:r>
    </w:p>
    <w:p>
      <w:pPr>
        <w:spacing w:after="120"/>
      </w:pPr>
      <w:r>
        <w:rPr>
          <w:b/>
          <w:bCs/>
        </w:rPr>
        <w:t xml:space="preserve">July 24 — the selection wall (the first half of Phase 2, the piece your spec flags as "most likely to be broken quietly in build"):</w:t>
      </w:r>
      <w:r>
        <w:t xml:space="preserve"> when a participant selects an entity from the directory, that selection now has a home — and it is participant-scoped at the data layer, exactly per your section 7.1. No program screen, report, export, dashboard, or support tool can read it; nothing announces it; deleting or renaming a directory entity can neither destroy nor reveal it. And the protection is automated: our test suite now attacks that wall from every staff door on every run, and fails loudly if any future change would let a program role read a selection. It cannot be broken quietly. </w:t>
      </w:r>
      <w:r>
        <w:rPr>
          <w:b/>
          <w:bCs/>
        </w:rPr>
        <w:t xml:space="preserve">What deliberately waits:</w:t>
      </w:r>
      <w:r>
        <w:t xml:space="preserve"> the sharing step (the signed release, filed under Consent Layer 3) and the participant-facing screens — both depend on the consent architecture (your #2, with legal) and your document access rules. When those land, the doors get built onto a wall that is already standing and already guarded.</w:t>
      </w:r>
    </w:p>
    <w:p>
      <w:pPr>
        <w:spacing w:after="120"/>
      </w:pPr>
      <w:r>
        <w:rPr>
          <w:b/>
          <w:bCs/>
        </w:rPr>
        <w:t xml:space="preserve">July 25 — the deactivation guard (your decision of July 23, built to your words):</w:t>
      </w:r>
      <w:r>
        <w:t xml:space="preserve"> nobody can be deactivated while they still carry open registry items. The system stops at the door and lists exactly what's open — urgency, reason, and the date each item was opened — so everything is completed, defensible, and no safety item is left unseen. Resolving the items unlocks the door; reactivating someone was never blocked. One piece of housekeeping this surfaces: </w:t>
      </w:r>
      <w:r>
        <w:rPr>
          <w:b/>
          <w:bCs/>
        </w:rPr>
        <w:t xml:space="preserve">one already-deactivated test person (Erica Kind) carries an open overdue RED item from before the guard existed</w:t>
      </w:r>
      <w:r>
        <w:t xml:space="preserve"> — the guard can't reach back, so that one needs your team to resolve it clinically, and then the books are clean.</w:t>
      </w:r>
    </w:p>
    <w:p>
      <w:pPr>
        <w:spacing w:after="120"/>
      </w:pPr>
      <w:r>
        <w:rPr>
          <w:b/>
          <w:bCs/>
        </w:rPr>
        <w:t xml:space="preserve">July 22-23 — the "No longer needed" follow-up outcome (your suggestion, same-week)</w:t>
      </w:r>
      <w:r>
        <w:t xml:space="preserve"> and </w:t>
      </w:r>
      <w:r>
        <w:rPr>
          <w:b/>
          <w:bCs/>
        </w:rPr>
        <w:t xml:space="preserve">the screens release</w:t>
      </w:r>
      <w:r>
        <w:t xml:space="preserve"> — as recorded in Edition 2.</w:t>
      </w:r>
    </w:p>
    <w:p>
      <w:pPr>
        <w:spacing w:after="120"/>
      </w:pPr>
      <w:r>
        <w:rPr>
          <w:i/>
          <w:iCs/>
        </w:rPr>
        <w:t xml:space="preserve">(Earlier releases — July 12 through July 21 — as recorded in Editions 1 and 2.)</w:t>
      </w:r>
    </w:p>
    <w:p>
      <w:pPr>
        <w:pStyle w:val="Heading1"/>
        <w:spacing w:after="120" w:before="280"/>
      </w:pPr>
      <w:r>
        <w:t xml:space="preserve">🐞 Bugs</w:t>
      </w:r>
    </w:p>
    <w:p>
      <w:pPr>
        <w:spacing w:after="120"/>
      </w:pPr>
      <w:r>
        <w:t xml:space="preserve">None open today. Anything you find goes here — and goes first.</w:t>
      </w:r>
    </w:p>
    <w:p>
      <w:pPr>
        <w:pStyle w:val="Heading1"/>
        <w:spacing w:after="120" w:before="280"/>
      </w:pPr>
      <w:r>
        <w:t xml:space="preserve">🔹 Small Enhancements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Per-track instrument templates</w:t>
      </w:r>
      <w:r>
        <w:t xml:space="preserve"> — each track (screening / optimization / monitoring) gets a default instrument set, applied automatically at activation. </w:t>
      </w:r>
      <w:r>
        <w:rPr>
          <w:i/>
          <w:iCs/>
        </w:rPr>
        <w:t xml:space="preserve">Becomes configuration the moment your protocol answers arrive.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GAD-7 alert thresholds</w:t>
      </w:r>
      <w:r>
        <w:t xml:space="preserve"> — wired like the PHQ-9 alert once you set the protocol levels.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trike/>
        </w:rPr>
        <w:t xml:space="preserve">Deactivation guard for open registry items</w:t>
      </w:r>
      <w:r>
        <w:t xml:space="preserve"> — </w:t>
      </w:r>
      <w:r>
        <w:rPr>
          <w:b/>
          <w:bCs/>
        </w:rPr>
        <w:t xml:space="preserve">built and live July 25</w:t>
      </w:r>
      <w:r>
        <w:t xml:space="preserve"> (see Recently completed).</w:t>
      </w:r>
    </w:p>
    <w:p>
      <w:pPr>
        <w:pStyle w:val="Heading1"/>
        <w:spacing w:after="120" w:before="280"/>
      </w:pPr>
      <w:r>
        <w:t xml:space="preserve">🔷 Large Enhancements — YOUR RANKING (received July 20) is the build order</w:t>
      </w:r>
    </w:p>
    <w:p>
      <w:pPr>
        <w:pStyle w:val="Heading2"/>
        <w:spacing w:after="80" w:before="200"/>
      </w:pPr>
      <w:r>
        <w:t xml:space="preserve">1. Document Repository — ranked first; the spine and screens are BUILT and LIVE</w:t>
      </w:r>
    </w:p>
    <w:p>
      <w:pPr>
        <w:spacing w:after="120"/>
      </w:pPr>
      <w:r>
        <w:t xml:space="preserve">What remains are decisions, not construction: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Your access rules — the one decision blocking your own #1</w:t>
      </w:r>
      <w:r>
        <w:t xml:space="preserve"> (who sees what: case manager / medical director / admin; does a participant see their own). You're writing these now. The standing gate holds: no real documents until role-based access is built.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Phase B vendor picks + agreements (ours): production encrypted storage, inbound fax, OCR.</w:t>
      </w:r>
    </w:p>
    <w:p>
      <w:pPr>
        <w:pStyle w:val="Heading2"/>
        <w:spacing w:after="80" w:before="200"/>
      </w:pPr>
      <w:r>
        <w:t xml:space="preserve">2. Consent architecture — ranked second; you drive it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Legal review of Layers 1 and 4; each state's PHP supplies its own layers. Build hooks (e-signature, stored consent records, revocation) come after legal signs off. Nothing buildable yet.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What it unlocks: participant email and text, true self-registration with participant logins, and the directory's sharing step — the release flow now waits on this and on your access rules, with the selection wall already built underneath it.</w:t>
      </w:r>
    </w:p>
    <w:p>
      <w:pPr>
        <w:pStyle w:val="Heading2"/>
        <w:spacing w:after="80" w:before="200"/>
      </w:pPr>
      <w:r>
        <w:t xml:space="preserve">3. Network Directory — ranked third; Phase 1 LIVE, Phase 2 half-built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✅ </w:t>
      </w:r>
      <w:r>
        <w:rPr>
          <w:b/>
          <w:bCs/>
        </w:rPr>
        <w:t xml:space="preserve">Phase 1, the directory — LIVE July 24</w:t>
      </w:r>
      <w:r>
        <w:t xml:space="preserve"> (see Recently completed). Your team fills 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✅ </w:t>
      </w:r>
      <w:r>
        <w:rPr>
          <w:b/>
          <w:bCs/>
        </w:rPr>
        <w:t xml:space="preserve">Phase 2, first half — the selection wall — LIVE July 24</w:t>
      </w:r>
      <w:r>
        <w:t xml:space="preserve">: a participant's selection is theirs alone; program staff cannot see it, enforced at the data layer and guarded by automated test.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⏳ </w:t>
      </w:r>
      <w:r>
        <w:rPr>
          <w:b/>
          <w:bCs/>
        </w:rPr>
        <w:t xml:space="preserve">Phase 2, second half — sharing</w:t>
      </w:r>
      <w:r>
        <w:t xml:space="preserve">: the signed release (named recipient, chosen purpose, twelve-month duration with revocation, typed-name execution), filed to the Document Repository under Consent Layer 3. Waits on the consent architecture (#2) and your access rules.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entity application and verification workflow: apply, credential review, annual re-verification — the review is purchased, never the outcome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Paid features for Verified entities only, never inside a program's list (needs a payment provider)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Suggested lists: criteria-matched, explainable, participant-private — payment carries zero weight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Your §10 open decisions stay open; everything above is built to the neutral defaults your spec prescribes</w:t>
      </w:r>
    </w:p>
    <w:p>
      <w:pPr>
        <w:pStyle w:val="Heading2"/>
        <w:spacing w:after="80" w:before="200"/>
      </w:pPr>
      <w:r>
        <w:t xml:space="preserve">4. Medication Registry — ranked fourth; depends on the Document Repository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Structured medication entries anchored to RxNorm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two governed reference tables (medication→test with detection windows; cross-reactivity) — license-or-build decision with clinical sign-off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Quarterly and event-triggered attestation — a positive screen forces re-attestation before adjudication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Reconciliation: Consistent / Partially explained / Unexplained → the review queue; a human medical reviewer always decides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 unexplained confirmed positive moves the risk picture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Photo and OCR evidence capture, stored in the repository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Your nine open decisions from §9 stay open</w:t>
      </w:r>
    </w:p>
    <w:p>
      <w:pPr>
        <w:pStyle w:val="Heading2"/>
        <w:spacing w:after="80" w:before="200"/>
      </w:pPr>
      <w:r>
        <w:t xml:space="preserve">5. Resource Library — ranked fifth; awaiting your specification, you're assembling the content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curated collection — papers, learning modules, pamphlets, tools, links — organized by topic, audience, and format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Resource matching: screening and monitoring results steer the right content to the right person — your original screening-to-resources idea</w:t>
      </w:r>
    </w:p>
    <w:p>
      <w:pPr>
        <w:spacing w:after="120"/>
      </w:pPr>
      <w:r>
        <w:rPr>
          <w:i/>
          <w:iCs/>
        </w:rPr>
        <w:t xml:space="preserve">Running beneath everything: the predictive model keeps learning as real data accumulates — the capability your competitor analysis showed neither RecoveryTrek nor Affinity has.</w:t>
      </w:r>
    </w:p>
    <w:p>
      <w:pPr>
        <w:pStyle w:val="Heading1"/>
        <w:spacing w:after="120" w:before="280"/>
      </w:pPr>
      <w:r>
        <w:t xml:space="preserve">🗻 Washington's wish list (received July 22 — your ranking pending)</w:t>
      </w:r>
    </w:p>
    <w:p>
      <w:pPr>
        <w:spacing w:after="120"/>
      </w:pPr>
      <w:r>
        <w:t xml:space="preserve">WPHP's platform wish list arrived through you. Awaiting your read: gut reaction (real need vs competitor echo), the pilot-vs-production split, and a master-list-style ranking. When it arrives it folds into the next edition of this list and feeds the August kickoff. </w:t>
      </w:r>
      <w:r>
        <w:rPr>
          <w:i/>
          <w:iCs/>
        </w:rPr>
        <w:t xml:space="preserve">(Several items overlap the monitoring-track list below.)</w:t>
      </w:r>
    </w:p>
    <w:p>
      <w:pPr>
        <w:pStyle w:val="Heading1"/>
        <w:spacing w:after="120" w:before="280"/>
      </w:pPr>
      <w:r>
        <w:t xml:space="preserve">🔮 Maybe in the Future</w:t>
      </w:r>
    </w:p>
    <w:p>
      <w:pPr>
        <w:spacing w:after="120"/>
      </w:pPr>
      <w:r>
        <w:rPr>
          <w:b/>
          <w:bCs/>
        </w:rPr>
        <w:t xml:space="preserve">The monitoring-track table stakes</w:t>
      </w:r>
      <w:r>
        <w:t xml:space="preserve"> (your competitor comparison — each its own build; Washington's wish list may promote some of these):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Daily check-in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Random test-selection engine with participant notice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Chain-of-custody number reporting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Collection-site finder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Participant calendar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Secure messaging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Camera document capture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In-app billing and ledger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Meeting-attendance GPS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Travel and medical time-off requests, with a forms library</w:t>
      </w:r>
    </w:p>
    <w:p>
      <w:pPr>
        <w:spacing w:after="120"/>
      </w:pPr>
      <w:r>
        <w:rPr>
          <w:b/>
          <w:bCs/>
        </w:rPr>
        <w:t xml:space="preserve">And beyond: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Toxicology / lab ordering and results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Treatment Provider Network — application, nine-domain scoring, network tiers, referral routing, the communication obligations, real-time professional-bed availability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Escalate-until-acknowledged alerting — a critical alert walks text → call → app until receipt is confirmed (messaging provider needed first)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Appointment and reminder machinery — proposed times, calendar invites, day-of reminders (consent-gated)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Board reporting (counsel-gated)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trike/>
        </w:rPr>
        <w:t xml:space="preserve">Standing up the second state</w:t>
      </w:r>
      <w:r>
        <w:t xml:space="preserve"> — </w:t>
      </w:r>
      <w:r>
        <w:rPr>
          <w:i/>
          <w:iCs/>
        </w:rPr>
        <w:t xml:space="preserve">happening: Washington signed; the wa_php program exists and stands ready for kickoff (~Aug 15)</w:t>
      </w:r>
    </w:p>
    <w:p>
      <w:pPr>
        <w:pStyle w:val="Heading1"/>
        <w:spacing w:after="120" w:before="280"/>
      </w:pPr>
      <w:r>
        <w:t xml:space="preserve">📋 In Your Court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Washington wish-list ranking</w:t>
      </w:r>
      <w:r>
        <w:t xml:space="preserve"> (your gut read, pilot-vs-production split, ranking)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Document repository access rules</w:t>
      </w:r>
      <w:r>
        <w:t xml:space="preserve"> (you're writing them — unlocks your #1, the real-files gate, and the directory's sharing step)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Filling the Network Directory</w:t>
      </w:r>
      <w:r>
        <w:t xml:space="preserve"> — it's live and empty; your team adds the entities (your program list and the IHS pool)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Erica Kind's leftover open RED item</w:t>
      </w:r>
      <w:r>
        <w:t xml:space="preserve"> — deactivated before the guard existed; needs a clinical resolution so nothing sits unseen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Clinical instrument library content and resource guide (yours, in progress)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Consent architecture → multi-state PHP counsel; Layer-1 agreement → legal review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Protocol answers: per-track instrument sets, GAD-7 thresholds, proprietary instrument picks and licensing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Jim's confirmation on who owns the intake outreach clock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Chris's confirmation of the compliance-starts-at-activation moment (you gave the provisional yes July 21)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Medication registry §9 decisions, when that build approaches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b/>
      <w:bCs/>
      <w:color w:val="2E5E4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2026-07-25T17:06:49.153Z</dcterms:created>
  <dcterms:modified xsi:type="dcterms:W3CDTF">2026-07-25T17:06:49.154Z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