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Molecule System Reference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Architecture &amp; Implementation Guide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 Molecule System is the core abstraction layer that enables tenant-specific, industry-agnostic data management in the Loyalty Platform. Molecules provide a uniform interface for accessing diverse data types while hiding implementation complexity behind a simple, consistent API.</w:t>
      </w:r>
    </w:p>
    <w:p>
      <w:pPr>
        <w:spacing w:after="400"/>
      </w:pPr>
      <w:r>
        <w:t xml:space="preserve">This document defines the complete molecule taxonomy, implementation patterns, and usage guidelines for building extensible loyalty platform features.</w:t>
      </w:r>
    </w:p>
    <w:p>
      <w:pPr>
        <w:pStyle w:val="Heading2"/>
      </w:pPr>
      <w:r>
        <w:t xml:space="preserve">Key Concepts</w:t>
      </w:r>
    </w:p>
    <w:p>
      <w:pPr>
        <w:spacing w:after="120"/>
      </w:pPr>
      <w:r>
        <w:rPr>
          <w:b/>
          <w:bCs/>
        </w:rPr>
        <w:t xml:space="preserve">Uniform Interface</w:t>
      </w:r>
    </w:p>
    <w:p>
      <w:pPr>
        <w:spacing w:after="200"/>
      </w:pPr>
      <w:r>
        <w:t xml:space="preserve">All molecules are accessed through a single, consistent interface regardless of their underlying implementation:</w:t>
      </w:r>
    </w:p>
    <w:p>
      <w:pPr>
        <w:pStyle w:val="CodeBlock"/>
        <w:spacing w:after="200"/>
      </w:pPr>
      <w:r>
        <w:t xml:space="preserve">decodeMolecule(tenantId, moleculeKey, id, date)</w:t>
      </w:r>
    </w:p>
    <w:p>
      <w:pPr>
        <w:spacing w:after="120"/>
      </w:pPr>
      <w:r>
        <w:rPr>
          <w:b/>
          <w:bCs/>
        </w:rPr>
        <w:t xml:space="preserve">Implementation Hiding</w:t>
      </w:r>
    </w:p>
    <w:p>
      <w:pPr>
        <w:spacing w:after="200"/>
      </w:pPr>
      <w:r>
        <w:t xml:space="preserve">The caller doesn't need to know how a molecule retrieves its data. The molecule handles all complexity including table lookups, function calls, deduplication, and encoding/decoding.</w:t>
      </w:r>
    </w:p>
    <w:p>
      <w:pPr>
        <w:spacing w:after="120"/>
      </w:pPr>
      <w:r>
        <w:rPr>
          <w:b/>
          <w:bCs/>
        </w:rPr>
        <w:t xml:space="preserve">Tenant Isolation</w:t>
      </w:r>
    </w:p>
    <w:p>
      <w:pPr>
        <w:spacing w:after="400"/>
      </w:pPr>
      <w:r>
        <w:t xml:space="preserve">Each molecule can have different values, configurations, and behaviors per tenant, enabling multi-tenant SaaS architecture without code changes.</w:t>
      </w:r>
    </w:p>
    <w:p>
      <w:pPr>
        <w:pStyle w:val="Heading1"/>
      </w:pPr>
      <w:r>
        <w:t xml:space="preserve">Molecule Types</w:t>
      </w:r>
    </w:p>
    <w:p>
      <w:pPr>
        <w:spacing w:after="200"/>
      </w:pPr>
      <w:r>
        <w:t xml:space="preserve">There are three primary molecule types, each serving distinct purposes in the system architecture:</w:t>
      </w:r>
    </w:p>
    <w:p>
      <w:pPr>
        <w:pStyle w:val="Heading2"/>
      </w:pPr>
      <w:r>
        <w:t xml:space="preserve">1. STATIC Molecules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Tenant-wide configuration values and reference lists</w:t>
      </w:r>
    </w:p>
    <w:p>
      <w:pPr>
        <w:spacing w:after="200"/>
      </w:pPr>
      <w:r>
        <w:rPr>
          <w:b/>
          <w:bCs/>
        </w:rPr>
        <w:t xml:space="preserve">Storage: </w:t>
      </w:r>
      <w:r>
        <w:t xml:space="preserve">molecule_def table (single value) or molecule_value_embedded_list (categorized lists)</w:t>
      </w:r>
    </w:p>
    <w:p>
      <w:pPr>
        <w:spacing w:after="200"/>
      </w:pPr>
      <w:r>
        <w:rPr>
          <w:b/>
          <w:bCs/>
        </w:rPr>
        <w:t xml:space="preserve">Usage: </w:t>
      </w:r>
      <w:r>
        <w:t xml:space="preserve">Display templates, dropdown population, validation rules</w:t>
      </w:r>
    </w:p>
    <w:p>
      <w:pPr>
        <w:spacing w:after="200"/>
      </w:pPr>
      <w:r>
        <w:rPr>
          <w:b/>
          <w:bCs/>
        </w:rPr>
        <w:t xml:space="preserve">Cannot be used: </w:t>
      </w:r>
      <w:r>
        <w:t xml:space="preserve">Rule evaluation (bonuses, promotions)</w:t>
      </w:r>
    </w:p>
    <w:p>
      <w:pPr>
        <w:spacing w:after="240"/>
      </w:pPr>
      <w:r>
        <w:rPr>
          <w:b/>
          <w:bCs/>
        </w:rPr>
        <w:t xml:space="preserve">Subtypes: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Value</w:t>
      </w:r>
      <w:r>
        <w:t xml:space="preserve"> - Simple configuration constants</w:t>
      </w:r>
    </w:p>
    <w:p>
      <w:pPr>
        <w:pStyle w:val="ListParagraph"/>
        <w:numPr>
          <w:ilvl w:val="1"/>
          <w:numId w:val="2"/>
        </w:numPr>
      </w:pPr>
      <w:r>
        <w:t xml:space="preserve">Text: "Miles", "Flights", "Points"</w:t>
      </w:r>
    </w:p>
    <w:p>
      <w:pPr>
        <w:pStyle w:val="ListParagraph"/>
        <w:numPr>
          <w:ilvl w:val="1"/>
          <w:numId w:val="2"/>
        </w:numPr>
      </w:pPr>
      <w:r>
        <w:t xml:space="preserve">Numeric: 365 (retro days), 50000 (max redemption)</w:t>
      </w:r>
    </w:p>
    <w:p>
      <w:pPr>
        <w:pStyle w:val="ListParagraph"/>
        <w:numPr>
          <w:ilvl w:val="1"/>
          <w:numId w:val="2"/>
        </w:numPr>
      </w:pPr>
      <w:r>
        <w:t xml:space="preserve">Date: System-wide dates</w:t>
      </w:r>
    </w:p>
    <w:p>
      <w:pPr>
        <w:pStyle w:val="ListParagraph"/>
        <w:numPr>
          <w:ilvl w:val="1"/>
          <w:numId w:val="2"/>
        </w:numPr>
      </w:pPr>
      <w:r>
        <w:t xml:space="preserve">Boolean: true/false flags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Reference Lists</w:t>
      </w:r>
      <w:r>
        <w:t xml:space="preserve"> - Configuration for dropdowns and validation</w:t>
      </w:r>
    </w:p>
    <w:p>
      <w:pPr>
        <w:pStyle w:val="ListParagraph"/>
        <w:numPr>
          <w:ilvl w:val="1"/>
          <w:numId w:val="2"/>
        </w:numPr>
      </w:pPr>
      <w:r>
        <w:t xml:space="preserve">Simple List: Flat list of values</w:t>
      </w:r>
    </w:p>
    <w:p>
      <w:pPr>
        <w:pStyle w:val="ListParagraph"/>
        <w:numPr>
          <w:ilvl w:val="1"/>
          <w:numId w:val="2"/>
        </w:numPr>
        <w:spacing w:after="300"/>
      </w:pPr>
      <w:r>
        <w:t xml:space="preserve">Embedded List: Categorized lists (sysparm molecule stores activity_type, redemption_status, redemption_type, etc.)</w:t>
      </w:r>
    </w:p>
    <w:p>
      <w:pPr>
        <w:pStyle w:val="Heading2"/>
      </w:pPr>
      <w:r>
        <w:t xml:space="preserve">2. DYNAMIC Molecules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Record-specific data storage</w:t>
      </w:r>
    </w:p>
    <w:p>
      <w:pPr>
        <w:spacing w:after="200"/>
      </w:pPr>
      <w:r>
        <w:rPr>
          <w:b/>
          <w:bCs/>
        </w:rPr>
        <w:t xml:space="preserve">Storage: </w:t>
      </w:r>
      <w:r>
        <w:t xml:space="preserve">activity_detail or member_detail tables (stores v_ref_id)</w:t>
      </w:r>
    </w:p>
    <w:p>
      <w:pPr>
        <w:spacing w:after="200"/>
      </w:pPr>
      <w:r>
        <w:rPr>
          <w:b/>
          <w:bCs/>
        </w:rPr>
        <w:t xml:space="preserve">Usage: </w:t>
      </w:r>
      <w:r>
        <w:t xml:space="preserve">Activity templates, data entry, rule evaluation</w:t>
      </w:r>
    </w:p>
    <w:p>
      <w:pPr>
        <w:spacing w:after="200"/>
      </w:pPr>
      <w:r>
        <w:rPr>
          <w:b/>
          <w:bCs/>
        </w:rPr>
        <w:t xml:space="preserve">Key Pattern: </w:t>
      </w:r>
      <w:r>
        <w:t xml:space="preserve">All inputs are encoded to a number (v_ref_id) for storage</w:t>
      </w:r>
    </w:p>
    <w:p>
      <w:pPr>
        <w:spacing w:after="240"/>
      </w:pPr>
      <w:r>
        <w:rPr>
          <w:b/>
          <w:bCs/>
        </w:rPr>
        <w:t xml:space="preserve">Subtypes: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Lookup</w:t>
      </w:r>
      <w:r>
        <w:t xml:space="preserve"> - Values from predefined lists/tables</w:t>
      </w:r>
    </w:p>
    <w:p>
      <w:pPr>
        <w:pStyle w:val="ListParagraph"/>
        <w:numPr>
          <w:ilvl w:val="1"/>
          <w:numId w:val="2"/>
        </w:numPr>
      </w:pPr>
      <w:r>
        <w:t xml:space="preserve">Internal-Regular: fare_class values in molecule_value_list</w:t>
      </w:r>
    </w:p>
    <w:p>
      <w:pPr>
        <w:pStyle w:val="ListParagraph"/>
        <w:numPr>
          <w:ilvl w:val="1"/>
          <w:numId w:val="2"/>
        </w:numPr>
      </w:pPr>
      <w:r>
        <w:t xml:space="preserve">Internal-Embedded: activity_display configuration (categorized)</w:t>
      </w:r>
    </w:p>
    <w:p>
      <w:pPr>
        <w:pStyle w:val="ListParagraph"/>
        <w:numPr>
          <w:ilvl w:val="1"/>
          <w:numId w:val="2"/>
        </w:numPr>
      </w:pPr>
      <w:r>
        <w:t xml:space="preserve">External: carrier → carriers table, origin → airports 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Freeform</w:t>
      </w:r>
      <w:r>
        <w:t xml:space="preserve"> - User-entered values</w:t>
      </w:r>
    </w:p>
    <w:p>
      <w:pPr>
        <w:pStyle w:val="ListParagraph"/>
        <w:numPr>
          <w:ilvl w:val="1"/>
          <w:numId w:val="2"/>
        </w:numPr>
      </w:pPr>
      <w:r>
        <w:t xml:space="preserve">Text: flight_number stored in molecule_value_text with deduplication</w:t>
      </w:r>
    </w:p>
    <w:p>
      <w:pPr>
        <w:pStyle w:val="ListParagraph"/>
        <w:numPr>
          <w:ilvl w:val="1"/>
          <w:numId w:val="2"/>
        </w:numPr>
        <w:spacing w:after="300"/>
      </w:pPr>
      <w:r>
        <w:t xml:space="preserve">Numeric: base_miles stored directly as v_ref_id (no encoding needed)</w:t>
      </w:r>
    </w:p>
    <w:p>
      <w:pPr>
        <w:pStyle w:val="Heading2"/>
      </w:pPr>
      <w:r>
        <w:t xml:space="preserve">3. REFERENCE Molecules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Query existing data for rule evaluation</w:t>
      </w:r>
    </w:p>
    <w:p>
      <w:pPr>
        <w:spacing w:after="200"/>
      </w:pPr>
      <w:r>
        <w:rPr>
          <w:b/>
          <w:bCs/>
        </w:rPr>
        <w:t xml:space="preserve">Storage: </w:t>
      </w:r>
      <w:r>
        <w:t xml:space="preserve">Not stored - queries data on demand</w:t>
      </w:r>
    </w:p>
    <w:p>
      <w:pPr>
        <w:spacing w:after="200"/>
      </w:pPr>
      <w:r>
        <w:rPr>
          <w:b/>
          <w:bCs/>
        </w:rPr>
        <w:t xml:space="preserve">Usage: </w:t>
      </w:r>
      <w:r>
        <w:t xml:space="preserve">Rule evaluation ONLY (bonuses, promotions, qualifications)</w:t>
      </w:r>
    </w:p>
    <w:p>
      <w:pPr>
        <w:spacing w:after="200"/>
      </w:pPr>
      <w:r>
        <w:rPr>
          <w:b/>
          <w:bCs/>
        </w:rPr>
        <w:t xml:space="preserve">Cannot be used: </w:t>
      </w:r>
      <w:r>
        <w:t xml:space="preserve">Activity templates (no v_ref_id to decode)</w:t>
      </w:r>
    </w:p>
    <w:p>
      <w:pPr>
        <w:spacing w:after="240"/>
      </w:pPr>
      <w:r>
        <w:rPr>
          <w:b/>
          <w:bCs/>
        </w:rPr>
        <w:t xml:space="preserve">Subtypes: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DirectField</w:t>
      </w:r>
      <w:r>
        <w:t xml:space="preserve"> - Queries table columns directly</w:t>
      </w:r>
    </w:p>
    <w:p>
      <w:pPr>
        <w:pStyle w:val="ListParagraph"/>
        <w:numPr>
          <w:ilvl w:val="1"/>
          <w:numId w:val="2"/>
        </w:numPr>
      </w:pPr>
      <w:r>
        <w:t xml:space="preserve">member_fname → queries member.fname column</w:t>
      </w:r>
    </w:p>
    <w:p>
      <w:pPr>
        <w:pStyle w:val="ListParagraph"/>
        <w:numPr>
          <w:ilvl w:val="1"/>
          <w:numId w:val="2"/>
        </w:numPr>
      </w:pPr>
      <w:r>
        <w:t xml:space="preserve">member_state → queries member.state column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Returns: "Bill", "MN"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</w:t>
      </w:r>
      <w:r>
        <w:t xml:space="preserve"> - Calls stored functions</w:t>
      </w:r>
    </w:p>
    <w:p>
      <w:pPr>
        <w:pStyle w:val="ListParagraph"/>
        <w:numPr>
          <w:ilvl w:val="1"/>
          <w:numId w:val="2"/>
        </w:numPr>
      </w:pPr>
      <w:r>
        <w:t xml:space="preserve">tier → calls get_member_tier_on_date(member_id, date)</w:t>
      </w:r>
    </w:p>
    <w:p>
      <w:pPr>
        <w:pStyle w:val="ListParagraph"/>
        <w:numPr>
          <w:ilvl w:val="1"/>
          <w:numId w:val="2"/>
        </w:numPr>
      </w:pPr>
      <w:r>
        <w:t xml:space="preserve">Uses: date parameter (ignored by other molecule types)</w:t>
      </w:r>
    </w:p>
    <w:p>
      <w:pPr>
        <w:pStyle w:val="ListParagraph"/>
        <w:numPr>
          <w:ilvl w:val="1"/>
          <w:numId w:val="2"/>
        </w:numPr>
        <w:spacing w:after="400"/>
      </w:pPr>
      <w:r>
        <w:t xml:space="preserve">Returns: "Gold", "Platinum" (tier on specific date)</w:t>
      </w:r>
    </w:p>
    <w:p>
      <w:pPr>
        <w:pStyle w:val="Heading1"/>
      </w:pPr>
      <w:r>
        <w:t xml:space="preserve">Usage Matrix</w:t>
      </w:r>
    </w:p>
    <w:p>
      <w:pPr>
        <w:spacing w:after="300"/>
      </w:pPr>
      <w:r>
        <w:t xml:space="preserve">The following table shows where each molecule type can be used: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59669"/>
              </w:rPr>
              <w:t xml:space="preserve">✓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color w:val="dc2626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molecule_def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DYNAMIC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59669"/>
              </w:rPr>
              <w:t xml:space="preserve">✓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59669"/>
              </w:rPr>
              <w:t xml:space="preserve">✓ Evaluate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activity_detail / member_detail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color w:val="dc2626"/>
              </w:rPr>
              <w:t xml:space="preserve">✗ No v_ref_id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59669"/>
              </w:rPr>
              <w:t xml:space="preserve">✓ Evaluate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stored (queries on demand)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Context Attribute</w:t>
      </w:r>
    </w:p>
    <w:p>
      <w:pPr>
        <w:spacing w:after="200"/>
      </w:pPr>
      <w:r>
        <w:t xml:space="preserve">Every molecule has a </w:t>
      </w:r>
      <w:r>
        <w:rPr>
          <w:b/>
          <w:bCs/>
        </w:rPr>
        <w:t xml:space="preserve">context</w:t>
      </w:r>
      <w:r>
        <w:t xml:space="preserve"> attribute that indicates its scope and domain: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</w:t>
      </w:r>
      <w:r>
        <w:t xml:space="preserve"> - System-wide configuration (rarely modified)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</w:t>
      </w:r>
      <w:r>
        <w:t xml:space="preserve"> - Tenant-specific configuration (activity_type_label, retro_days_allowed)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activity</w:t>
      </w:r>
      <w:r>
        <w:t xml:space="preserve"> - Activity record data (carrier, origin, flight_number)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member</w:t>
      </w:r>
      <w:r>
        <w:t xml:space="preserve"> - Member record data (tier, fname, state)</w:t>
      </w:r>
    </w:p>
    <w:p>
      <w:pPr>
        <w:pStyle w:val="Heading1"/>
      </w:pPr>
      <w:r>
        <w:t xml:space="preserve">The Uniform Interface</w:t>
      </w:r>
    </w:p>
    <w:p>
      <w:pPr>
        <w:spacing w:after="200"/>
      </w:pPr>
      <w:r>
        <w:t xml:space="preserve">All molecules use the same function signature, regardless of type or implementation:</w:t>
      </w:r>
    </w:p>
    <w:p>
      <w:pPr>
        <w:pStyle w:val="CodeBlock"/>
        <w:spacing w:after="300"/>
      </w:pPr>
      <w:r>
        <w:t xml:space="preserve">decodeMolecule(tenantId, moleculeKey, id, date)</w:t>
      </w:r>
    </w:p>
    <w:p>
      <w:pPr>
        <w:pStyle w:val="Heading2"/>
      </w:pPr>
      <w:r>
        <w:t xml:space="preserve">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tenantId</w:t>
      </w:r>
      <w:r>
        <w:t xml:space="preserve"> - Ensures tenant isolation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moleculeKey</w:t>
      </w:r>
      <w:r>
        <w:t xml:space="preserve"> - Identifies which molecule to 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</w:t>
      </w:r>
      <w:r>
        <w:t xml:space="preserve"> - v_ref_id, member_id, or activity_id depending on context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date</w:t>
      </w:r>
      <w:r>
        <w:t xml:space="preserve"> - Date for temporal queries (ignored by most molecules, used by Function-type Reference molecules)</w:t>
      </w:r>
    </w:p>
    <w:p>
      <w:pPr>
        <w:pStyle w:val="Heading2"/>
      </w:pPr>
      <w:r>
        <w:t xml:space="preserve">Behavior by Type</w:t>
      </w:r>
    </w:p>
    <w:p>
      <w:pPr>
        <w:spacing w:after="160"/>
      </w:pPr>
      <w:r>
        <w:rPr>
          <w:b/>
          <w:bCs/>
        </w:rPr>
        <w:t xml:space="preserve">Dynamic-Lookup (carrier):</w:t>
      </w:r>
    </w:p>
    <w:p>
      <w:pPr>
        <w:pStyle w:val="CodeBlock"/>
      </w:pPr>
      <w:r>
        <w:t xml:space="preserve">decodeMolecule(1, 'carrier', 42, '2024-11-12')</w:t>
      </w:r>
    </w:p>
    <w:p>
      <w:pPr>
        <w:pStyle w:val="CodeBlock"/>
        <w:spacing w:after="300"/>
      </w:pPr>
      <w:r>
        <w:t xml:space="preserve">→ Ignores date, queries carriers table, returns "DL"</w:t>
      </w:r>
    </w:p>
    <w:p>
      <w:pPr>
        <w:spacing w:after="160"/>
      </w:pPr>
      <w:r>
        <w:rPr>
          <w:b/>
          <w:bCs/>
        </w:rPr>
        <w:t xml:space="preserve">Reference-DirectField (member_fname):</w:t>
      </w:r>
    </w:p>
    <w:p>
      <w:pPr>
        <w:pStyle w:val="CodeBlock"/>
      </w:pPr>
      <w:r>
        <w:t xml:space="preserve">decodeMolecule(1, 'member_fname', 'M001', '2024-11-12')</w:t>
      </w:r>
    </w:p>
    <w:p>
      <w:pPr>
        <w:pStyle w:val="CodeBlock"/>
        <w:spacing w:after="300"/>
      </w:pPr>
      <w:r>
        <w:t xml:space="preserve">→ Ignores date, queries member.fname, returns "Bill"</w:t>
      </w:r>
    </w:p>
    <w:p>
      <w:pPr>
        <w:spacing w:after="160"/>
      </w:pPr>
      <w:r>
        <w:rPr>
          <w:b/>
          <w:bCs/>
        </w:rPr>
        <w:t xml:space="preserve">Reference-Function (tier):</w:t>
      </w:r>
    </w:p>
    <w:p>
      <w:pPr>
        <w:pStyle w:val="CodeBlock"/>
      </w:pPr>
      <w:r>
        <w:t xml:space="preserve">decodeMolecule(1, 'tier', 'M001', '2024-11-12')</w:t>
      </w:r>
    </w:p>
    <w:p>
      <w:pPr>
        <w:pStyle w:val="CodeBlock"/>
        <w:spacing w:after="400"/>
      </w:pPr>
      <w:r>
        <w:t xml:space="preserve">→ Uses date! Calls get_member_tier_on_date('M001', '2024-11-12'), returns "Gold"</w:t>
      </w:r>
    </w:p>
    <w:p>
      <w:pPr>
        <w:pStyle w:val="Heading1"/>
      </w:pPr>
      <w:r>
        <w:t xml:space="preserve">Implementation Examples</w:t>
      </w:r>
    </w:p>
    <w:p>
      <w:pPr>
        <w:pStyle w:val="Heading2"/>
      </w:pPr>
      <w:r>
        <w:t xml:space="preserve">Bonus Rule Evaluation</w:t>
      </w:r>
    </w:p>
    <w:p>
      <w:pPr>
        <w:spacing w:after="200"/>
      </w:pPr>
      <w:r>
        <w:t xml:space="preserve">Rule: "Give 2x points IF Activity.Carrier = DL AND Member.Tier = Gold"</w:t>
      </w:r>
    </w:p>
    <w:p>
      <w:pPr>
        <w:pStyle w:val="CodeBlock"/>
      </w:pPr>
      <w:r>
        <w:t xml:space="preserve">async function evaluateBonuses(activityId) {</w:t>
      </w:r>
    </w:p>
    <w:p>
      <w:pPr>
        <w:pStyle w:val="CodeBlock"/>
      </w:pPr>
      <w:r>
        <w:t xml:space="preserve">  const activity = await getActivity(activityId);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Check carrier</w:t>
      </w:r>
    </w:p>
    <w:p>
      <w:pPr>
        <w:pStyle w:val="CodeBlock"/>
      </w:pPr>
      <w:r>
        <w:t xml:space="preserve">  const carrier = await decodeMolecule(</w:t>
      </w:r>
    </w:p>
    <w:p>
      <w:pPr>
        <w:pStyle w:val="CodeBlock"/>
      </w:pPr>
      <w:r>
        <w:t xml:space="preserve">    tenantId, 'carrier', activity.activity_id, activity.activity_date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// Returns: "DL" (ignores date)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Check tier</w:t>
      </w:r>
    </w:p>
    <w:p>
      <w:pPr>
        <w:pStyle w:val="CodeBlock"/>
      </w:pPr>
      <w:r>
        <w:t xml:space="preserve">  const tier = await decodeMolecule(</w:t>
      </w:r>
    </w:p>
    <w:p>
      <w:pPr>
        <w:pStyle w:val="CodeBlock"/>
      </w:pPr>
      <w:r>
        <w:t xml:space="preserve">    tenantId, 'tier', activity.member_id, activity.activity_date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// Returns: "Gold" (uses date!)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if (carrier === 'DL' &amp;&amp; tier === 'Gold') {</w:t>
      </w:r>
    </w:p>
    <w:p>
      <w:pPr>
        <w:pStyle w:val="CodeBlock"/>
      </w:pPr>
      <w:r>
        <w:t xml:space="preserve">    // Award bonus</w:t>
      </w:r>
    </w:p>
    <w:p>
      <w:pPr>
        <w:pStyle w:val="CodeBlock"/>
      </w:pPr>
      <w:r>
        <w:t xml:space="preserve">  }</w:t>
      </w:r>
    </w:p>
    <w:p>
      <w:pPr>
        <w:pStyle w:val="CodeBlock"/>
        <w:spacing w:after="400"/>
      </w:pPr>
      <w:r>
        <w:t xml:space="preserve">}</w:t>
      </w:r>
    </w:p>
    <w:p>
      <w:pPr>
        <w:pStyle w:val="Heading1"/>
      </w:pPr>
      <w:r>
        <w:t xml:space="preserve">Key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Uniform Interface</w:t>
      </w:r>
      <w:r>
        <w:t xml:space="preserve"> - Single API for all data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 Hiding</w:t>
      </w:r>
      <w:r>
        <w:t xml:space="preserve"> - Complexity isolated in molecule 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Infinite Extensibility</w:t>
      </w:r>
      <w:r>
        <w:t xml:space="preserve"> - Add attributes without code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 Isolation</w:t>
      </w:r>
      <w:r>
        <w:t xml:space="preserve"> - Each tenant can have different molecule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 Agnostic</w:t>
      </w:r>
      <w:r>
        <w:t xml:space="preserve"> - Airlines, hotels, retail use same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Retroactive Processing</w:t>
      </w:r>
      <w:r>
        <w:t xml:space="preserve"> - Date parameter enables historical evaluation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Rule Engine Simplicity</w:t>
      </w:r>
      <w:r>
        <w:t xml:space="preserve"> - Rules just pass parameters, molecules handle logic</w:t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t xml:space="preserve">The Molecule System provides the foundational abstraction that enables the Loyalty Platform's flexibility and extensibility. By hiding implementation complexity behind a uniform interface, molecules allow:</w:t>
      </w:r>
    </w:p>
    <w:p>
      <w:pPr>
        <w:pStyle w:val="ListParagraph"/>
        <w:numPr>
          <w:ilvl w:val="0"/>
          <w:numId w:val="2"/>
        </w:numPr>
      </w:pPr>
      <w:r>
        <w:t xml:space="preserve">Tenants to customize their loyalty programs without code changes</w:t>
      </w:r>
    </w:p>
    <w:p>
      <w:pPr>
        <w:pStyle w:val="ListParagraph"/>
        <w:numPr>
          <w:ilvl w:val="0"/>
          <w:numId w:val="2"/>
        </w:numPr>
      </w:pPr>
      <w:r>
        <w:t xml:space="preserve">Rule engines to evaluate criteria uniformly across different data sources</w:t>
      </w:r>
    </w:p>
    <w:p>
      <w:pPr>
        <w:pStyle w:val="ListParagraph"/>
        <w:numPr>
          <w:ilvl w:val="0"/>
          <w:numId w:val="2"/>
        </w:numPr>
      </w:pPr>
      <w:r>
        <w:t xml:space="preserve">New attributes to be added dynamically through configuration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Different industries to use the same platform with industry-specific molecules</w:t>
      </w:r>
    </w:p>
    <w:p>
      <w:pPr>
        <w:spacing w:after="200"/>
      </w:pPr>
      <w:r>
        <w:t xml:space="preserve">Understanding the three molecule types (Static, Dynamic, Reference) and their subtypes is essential for building features that leverage the platform's full power while maintaining its architectural integrity.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563E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2025-11-12T15:46:27.105Z</dcterms:created>
  <dcterms:modified xsi:type="dcterms:W3CDTF">2025-11-12T15:46:27.106Z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