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CFCB8" w14:textId="77777777" w:rsidR="00F51B94" w:rsidRDefault="00000000">
      <w:pPr>
        <w:pStyle w:val="Title"/>
      </w:pPr>
      <w:r>
        <w:t>The Molecule System</w:t>
      </w:r>
    </w:p>
    <w:p w14:paraId="4977D0AC" w14:textId="77777777" w:rsidR="00F51B94" w:rsidRDefault="00000000">
      <w:pPr>
        <w:spacing w:after="480"/>
        <w:jc w:val="center"/>
      </w:pPr>
      <w:r>
        <w:rPr>
          <w:color w:val="555555"/>
          <w:sz w:val="32"/>
          <w:szCs w:val="32"/>
        </w:rPr>
        <w:t>A Data Architecture for Flexible, High-Performance Applications</w:t>
      </w:r>
    </w:p>
    <w:p w14:paraId="148D284F" w14:textId="77777777" w:rsidR="00F51B94" w:rsidRDefault="00000000">
      <w:pPr>
        <w:spacing w:after="600"/>
        <w:jc w:val="center"/>
      </w:pPr>
      <w:r>
        <w:rPr>
          <w:color w:val="888888"/>
        </w:rPr>
        <w:t>Technical White Paper — December 2025</w:t>
      </w:r>
    </w:p>
    <w:p w14:paraId="06501FAA" w14:textId="77777777" w:rsidR="00F51B94" w:rsidRDefault="00000000">
      <w:pPr>
        <w:pStyle w:val="Heading1"/>
      </w:pPr>
      <w:r>
        <w:t>Executive Summary</w:t>
      </w:r>
    </w:p>
    <w:p w14:paraId="4ADB82BE" w14:textId="77777777" w:rsidR="00F51B94" w:rsidRDefault="00000000">
      <w:pPr>
        <w:spacing w:after="200"/>
      </w:pPr>
      <w:r>
        <w:t xml:space="preserve">The Molecule System is a data architecture that achieves what many have attempted but few have accomplished: </w:t>
      </w:r>
      <w:r>
        <w:rPr>
          <w:b/>
          <w:bCs/>
        </w:rPr>
        <w:t>true flexibility without sacrificing performance</w:t>
      </w:r>
      <w:r>
        <w:t xml:space="preserve">. By combining right-sized data storage, dynamic table generation, and intelligent routing, the system delivers both the adaptability of schema-less designs and the performance of </w:t>
      </w:r>
      <w:proofErr w:type="gramStart"/>
      <w:r>
        <w:t>tightly-typed</w:t>
      </w:r>
      <w:proofErr w:type="gramEnd"/>
      <w:r>
        <w:t xml:space="preserve"> relational databases.</w:t>
      </w:r>
    </w:p>
    <w:p w14:paraId="62337F86" w14:textId="77777777" w:rsidR="00F51B94" w:rsidRDefault="00000000">
      <w:pPr>
        <w:spacing w:after="200"/>
      </w:pPr>
      <w:r>
        <w:t>This paper presents the technical foundation of the molecule system, compares it to common alternatives, and demonstrates how it enables multi-industry support from a single codebase while achieving benchmark results of over 5,000 API calls per second on standard hardware.</w:t>
      </w:r>
    </w:p>
    <w:p w14:paraId="6CB022F9" w14:textId="77777777" w:rsidR="00F51B94" w:rsidRDefault="00000000">
      <w:pPr>
        <w:pStyle w:val="Heading1"/>
      </w:pPr>
      <w:r>
        <w:t>What Are Molecules?</w:t>
      </w:r>
    </w:p>
    <w:p w14:paraId="3C3AAEDB" w14:textId="6A5B243E" w:rsidR="00F51B94" w:rsidRDefault="00000000">
      <w:pPr>
        <w:spacing w:after="200"/>
      </w:pPr>
      <w:r>
        <w:t>A molecule is a configurable data attribute that can be attached to core entities (activities, members</w:t>
      </w:r>
      <w:r w:rsidR="0092106D">
        <w:t>, or any other aspect</w:t>
      </w:r>
      <w:r>
        <w:t>) without schema modifications. Unlike traditional columns that require DDL changes, molecules are defined through configuration and immediately available throughout the system.</w:t>
      </w:r>
    </w:p>
    <w:p w14:paraId="3252DFE6" w14:textId="77777777" w:rsidR="00F51B94" w:rsidRDefault="00000000">
      <w:pPr>
        <w:pStyle w:val="Heading2"/>
      </w:pPr>
      <w:r>
        <w:t>Molecule Types</w:t>
      </w:r>
    </w:p>
    <w:p w14:paraId="30645A50" w14:textId="77777777" w:rsidR="00F51B94" w:rsidRDefault="00000000">
      <w:pPr>
        <w:pStyle w:val="ListParagraph"/>
        <w:numPr>
          <w:ilvl w:val="0"/>
          <w:numId w:val="2"/>
        </w:numPr>
      </w:pPr>
      <w:r>
        <w:rPr>
          <w:b/>
          <w:bCs/>
        </w:rPr>
        <w:t xml:space="preserve">Static (S): </w:t>
      </w:r>
      <w:r>
        <w:t>Tenant-wide configuration values. Stored in molecule definitions, not per-record.</w:t>
      </w:r>
    </w:p>
    <w:p w14:paraId="14E98E26" w14:textId="77777777" w:rsidR="00F51B94" w:rsidRDefault="00000000">
      <w:pPr>
        <w:pStyle w:val="ListParagraph"/>
        <w:numPr>
          <w:ilvl w:val="0"/>
          <w:numId w:val="2"/>
        </w:numPr>
      </w:pPr>
      <w:r>
        <w:rPr>
          <w:b/>
          <w:bCs/>
        </w:rPr>
        <w:t xml:space="preserve">Dynamic (D): </w:t>
      </w:r>
      <w:r>
        <w:t>Per-activity or per-member data. Stored in optimized detail tables. Available for rule evaluation.</w:t>
      </w:r>
    </w:p>
    <w:p w14:paraId="5EFF0E89" w14:textId="77777777" w:rsidR="00F51B94" w:rsidRDefault="00000000">
      <w:pPr>
        <w:pStyle w:val="ListParagraph"/>
        <w:numPr>
          <w:ilvl w:val="0"/>
          <w:numId w:val="2"/>
        </w:numPr>
      </w:pPr>
      <w:r>
        <w:rPr>
          <w:b/>
          <w:bCs/>
        </w:rPr>
        <w:t xml:space="preserve">Reference (R): </w:t>
      </w:r>
      <w:r>
        <w:t>Queries existing data on demand. No storage—derives values from source tables at runtime.</w:t>
      </w:r>
    </w:p>
    <w:p w14:paraId="79DD8997" w14:textId="77777777" w:rsidR="00F51B94" w:rsidRDefault="00000000">
      <w:pPr>
        <w:pStyle w:val="Heading1"/>
      </w:pPr>
      <w:r>
        <w:t>Data Drives Behavior</w:t>
      </w:r>
    </w:p>
    <w:p w14:paraId="42F44E4E" w14:textId="77777777" w:rsidR="00F51B94" w:rsidRDefault="00000000">
      <w:pPr>
        <w:spacing w:after="200"/>
      </w:pPr>
      <w:r>
        <w:t>Traditional systems embed business logic in code. Changing how points are calculated, what qualifies for a bonus, or what fields appear on a form requires code changes, testing, and deployment.</w:t>
      </w:r>
    </w:p>
    <w:p w14:paraId="316CE81E" w14:textId="77777777" w:rsidR="00F51B94" w:rsidRDefault="00000000">
      <w:pPr>
        <w:spacing w:after="200"/>
      </w:pPr>
      <w:r>
        <w:t xml:space="preserve">The molecule system inverts this relationship: </w:t>
      </w:r>
      <w:r>
        <w:rPr>
          <w:b/>
          <w:bCs/>
        </w:rPr>
        <w:t>business rules live in data, code is generic</w:t>
      </w:r>
      <w:r>
        <w:t>. The same codebase serves airlines tracking flights, hotels tracking stays, and retailers tracking purchases. The difference is configuration, not code.</w:t>
      </w:r>
    </w:p>
    <w:p w14:paraId="3A11A250" w14:textId="77777777" w:rsidR="00F51B94" w:rsidRDefault="00000000">
      <w:pPr>
        <w:spacing w:after="200"/>
      </w:pPr>
      <w:r>
        <w:t>Benefits of this insulation:</w:t>
      </w:r>
    </w:p>
    <w:p w14:paraId="518CA19E" w14:textId="77777777" w:rsidR="00F51B94" w:rsidRDefault="00000000">
      <w:pPr>
        <w:pStyle w:val="ListParagraph"/>
        <w:numPr>
          <w:ilvl w:val="0"/>
          <w:numId w:val="2"/>
        </w:numPr>
      </w:pPr>
      <w:r>
        <w:t>Change business rules without redeployment</w:t>
      </w:r>
    </w:p>
    <w:p w14:paraId="1B20F9FA" w14:textId="77777777" w:rsidR="00F51B94" w:rsidRDefault="00000000">
      <w:pPr>
        <w:pStyle w:val="ListParagraph"/>
        <w:numPr>
          <w:ilvl w:val="0"/>
          <w:numId w:val="2"/>
        </w:numPr>
      </w:pPr>
      <w:r>
        <w:lastRenderedPageBreak/>
        <w:t>A/B test different configurations across tenants</w:t>
      </w:r>
    </w:p>
    <w:p w14:paraId="5B229B8C" w14:textId="77777777" w:rsidR="00F51B94" w:rsidRDefault="00000000">
      <w:pPr>
        <w:pStyle w:val="ListParagraph"/>
        <w:numPr>
          <w:ilvl w:val="0"/>
          <w:numId w:val="2"/>
        </w:numPr>
      </w:pPr>
      <w:r>
        <w:t>Support entirely different industries from one platform</w:t>
      </w:r>
    </w:p>
    <w:p w14:paraId="59B63EBF" w14:textId="77777777" w:rsidR="00F51B94" w:rsidRDefault="00000000">
      <w:pPr>
        <w:pStyle w:val="ListParagraph"/>
        <w:numPr>
          <w:ilvl w:val="0"/>
          <w:numId w:val="2"/>
        </w:numPr>
      </w:pPr>
      <w:r>
        <w:t>Onboard new clients through configuration, not development</w:t>
      </w:r>
    </w:p>
    <w:p w14:paraId="3F920D03" w14:textId="77777777" w:rsidR="00F51B94" w:rsidRDefault="00000000">
      <w:pPr>
        <w:pStyle w:val="Heading1"/>
      </w:pPr>
      <w:r>
        <w:t>Right-Sized Storage</w:t>
      </w:r>
    </w:p>
    <w:p w14:paraId="610A0DF2" w14:textId="77777777" w:rsidR="00F51B94" w:rsidRDefault="00000000">
      <w:pPr>
        <w:spacing w:after="200"/>
      </w:pPr>
      <w:r>
        <w:t>Every molecule value is stored in the smallest possible data type for its domain. This isn't premature optimization—it's architectural discipline that compounds across millions of records.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1946"/>
        <w:gridCol w:w="2402"/>
        <w:gridCol w:w="3231"/>
      </w:tblGrid>
      <w:tr w:rsidR="00F51B94" w14:paraId="4880315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5276"/>
          </w:tcPr>
          <w:p w14:paraId="59C5DF4B" w14:textId="77777777" w:rsidR="00F51B94" w:rsidRDefault="00000000">
            <w:pPr>
              <w:jc w:val="center"/>
            </w:pPr>
            <w:r>
              <w:rPr>
                <w:b/>
                <w:bCs/>
                <w:color w:val="FFFFFF"/>
              </w:rPr>
              <w:t>Bytes</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Pr>
          <w:p w14:paraId="17142D0B" w14:textId="77777777" w:rsidR="00F51B94" w:rsidRDefault="00000000">
            <w:pPr>
              <w:jc w:val="center"/>
            </w:pPr>
            <w:r>
              <w:rPr>
                <w:b/>
                <w:bCs/>
                <w:color w:val="FFFFFF"/>
              </w:rPr>
              <w:t>Storage Type</w:t>
            </w:r>
          </w:p>
        </w:tc>
        <w:tc>
          <w:tcPr>
            <w:tcW w:w="2500" w:type="dxa"/>
            <w:tcBorders>
              <w:top w:val="single" w:sz="1" w:space="0" w:color="CCCCCC"/>
              <w:left w:val="single" w:sz="1" w:space="0" w:color="CCCCCC"/>
              <w:bottom w:val="single" w:sz="1" w:space="0" w:color="CCCCCC"/>
              <w:right w:val="single" w:sz="1" w:space="0" w:color="CCCCCC"/>
            </w:tcBorders>
            <w:shd w:val="clear" w:color="auto" w:fill="1A5276"/>
          </w:tcPr>
          <w:p w14:paraId="7C10CEF1" w14:textId="77777777" w:rsidR="00F51B94" w:rsidRDefault="00000000">
            <w:pPr>
              <w:jc w:val="center"/>
            </w:pPr>
            <w:r>
              <w:rPr>
                <w:b/>
                <w:bCs/>
                <w:color w:val="FFFFFF"/>
              </w:rPr>
              <w:t>Capacity</w:t>
            </w:r>
          </w:p>
        </w:tc>
        <w:tc>
          <w:tcPr>
            <w:tcW w:w="3360" w:type="dxa"/>
            <w:tcBorders>
              <w:top w:val="single" w:sz="1" w:space="0" w:color="CCCCCC"/>
              <w:left w:val="single" w:sz="1" w:space="0" w:color="CCCCCC"/>
              <w:bottom w:val="single" w:sz="1" w:space="0" w:color="CCCCCC"/>
              <w:right w:val="single" w:sz="1" w:space="0" w:color="CCCCCC"/>
            </w:tcBorders>
            <w:shd w:val="clear" w:color="auto" w:fill="1A5276"/>
          </w:tcPr>
          <w:p w14:paraId="2BDFEC7D" w14:textId="77777777" w:rsidR="00F51B94" w:rsidRDefault="00000000">
            <w:pPr>
              <w:jc w:val="center"/>
            </w:pPr>
            <w:r>
              <w:rPr>
                <w:b/>
                <w:bCs/>
                <w:color w:val="FFFFFF"/>
              </w:rPr>
              <w:t>Use Cases</w:t>
            </w:r>
          </w:p>
        </w:tc>
      </w:tr>
      <w:tr w:rsidR="00F51B94" w14:paraId="256D41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78F14D03" w14:textId="77777777" w:rsidR="00F51B94" w:rsidRDefault="00000000">
            <w:pPr>
              <w:jc w:val="center"/>
            </w:pPr>
            <w:r>
              <w:t>1</w:t>
            </w:r>
          </w:p>
        </w:tc>
        <w:tc>
          <w:tcPr>
            <w:tcW w:w="2000" w:type="dxa"/>
            <w:tcBorders>
              <w:top w:val="single" w:sz="1" w:space="0" w:color="CCCCCC"/>
              <w:left w:val="single" w:sz="1" w:space="0" w:color="CCCCCC"/>
              <w:bottom w:val="single" w:sz="1" w:space="0" w:color="CCCCCC"/>
              <w:right w:val="single" w:sz="1" w:space="0" w:color="CCCCCC"/>
            </w:tcBorders>
          </w:tcPr>
          <w:p w14:paraId="5C2462B3" w14:textId="77777777" w:rsidR="00F51B94" w:rsidRDefault="00000000">
            <w:proofErr w:type="gramStart"/>
            <w:r>
              <w:t>CHAR(</w:t>
            </w:r>
            <w:proofErr w:type="gramEnd"/>
            <w:r>
              <w:t>1)</w:t>
            </w:r>
          </w:p>
        </w:tc>
        <w:tc>
          <w:tcPr>
            <w:tcW w:w="2500" w:type="dxa"/>
            <w:tcBorders>
              <w:top w:val="single" w:sz="1" w:space="0" w:color="CCCCCC"/>
              <w:left w:val="single" w:sz="1" w:space="0" w:color="CCCCCC"/>
              <w:bottom w:val="single" w:sz="1" w:space="0" w:color="CCCCCC"/>
              <w:right w:val="single" w:sz="1" w:space="0" w:color="CCCCCC"/>
            </w:tcBorders>
          </w:tcPr>
          <w:p w14:paraId="7AEB5B8B" w14:textId="77777777" w:rsidR="00F51B94" w:rsidRDefault="00000000">
            <w:r>
              <w:t>127 values</w:t>
            </w:r>
          </w:p>
        </w:tc>
        <w:tc>
          <w:tcPr>
            <w:tcW w:w="3360" w:type="dxa"/>
            <w:tcBorders>
              <w:top w:val="single" w:sz="1" w:space="0" w:color="CCCCCC"/>
              <w:left w:val="single" w:sz="1" w:space="0" w:color="CCCCCC"/>
              <w:bottom w:val="single" w:sz="1" w:space="0" w:color="CCCCCC"/>
              <w:right w:val="single" w:sz="1" w:space="0" w:color="CCCCCC"/>
            </w:tcBorders>
          </w:tcPr>
          <w:p w14:paraId="3223E0A1" w14:textId="77777777" w:rsidR="00F51B94" w:rsidRDefault="00000000">
            <w:r>
              <w:t>Fare class, status codes, flags</w:t>
            </w:r>
          </w:p>
        </w:tc>
      </w:tr>
      <w:tr w:rsidR="00F51B94" w14:paraId="624858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6B6385E6" w14:textId="77777777" w:rsidR="00F51B94" w:rsidRDefault="00000000">
            <w:pPr>
              <w:jc w:val="center"/>
            </w:pPr>
            <w:r>
              <w:t>2</w:t>
            </w:r>
          </w:p>
        </w:tc>
        <w:tc>
          <w:tcPr>
            <w:tcW w:w="2000" w:type="dxa"/>
            <w:tcBorders>
              <w:top w:val="single" w:sz="1" w:space="0" w:color="CCCCCC"/>
              <w:left w:val="single" w:sz="1" w:space="0" w:color="CCCCCC"/>
              <w:bottom w:val="single" w:sz="1" w:space="0" w:color="CCCCCC"/>
              <w:right w:val="single" w:sz="1" w:space="0" w:color="CCCCCC"/>
            </w:tcBorders>
          </w:tcPr>
          <w:p w14:paraId="6414ADC8" w14:textId="77777777" w:rsidR="00F51B94" w:rsidRDefault="00000000">
            <w:r>
              <w:t>SMALLINT</w:t>
            </w:r>
          </w:p>
        </w:tc>
        <w:tc>
          <w:tcPr>
            <w:tcW w:w="2500" w:type="dxa"/>
            <w:tcBorders>
              <w:top w:val="single" w:sz="1" w:space="0" w:color="CCCCCC"/>
              <w:left w:val="single" w:sz="1" w:space="0" w:color="CCCCCC"/>
              <w:bottom w:val="single" w:sz="1" w:space="0" w:color="CCCCCC"/>
              <w:right w:val="single" w:sz="1" w:space="0" w:color="CCCCCC"/>
            </w:tcBorders>
          </w:tcPr>
          <w:p w14:paraId="085BBAC9" w14:textId="77777777" w:rsidR="00F51B94" w:rsidRDefault="00000000">
            <w:r>
              <w:t>65,535 keys or ±32,767 numeric</w:t>
            </w:r>
          </w:p>
        </w:tc>
        <w:tc>
          <w:tcPr>
            <w:tcW w:w="3360" w:type="dxa"/>
            <w:tcBorders>
              <w:top w:val="single" w:sz="1" w:space="0" w:color="CCCCCC"/>
              <w:left w:val="single" w:sz="1" w:space="0" w:color="CCCCCC"/>
              <w:bottom w:val="single" w:sz="1" w:space="0" w:color="CCCCCC"/>
              <w:right w:val="single" w:sz="1" w:space="0" w:color="CCCCCC"/>
            </w:tcBorders>
          </w:tcPr>
          <w:p w14:paraId="42195E6D" w14:textId="77777777" w:rsidR="00F51B94" w:rsidRDefault="00000000">
            <w:r>
              <w:t>Carriers, airports, dates, quantities</w:t>
            </w:r>
          </w:p>
        </w:tc>
      </w:tr>
      <w:tr w:rsidR="00F51B94" w14:paraId="3A5F3C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C6FB673" w14:textId="77777777" w:rsidR="00F51B94" w:rsidRDefault="00000000">
            <w:pPr>
              <w:jc w:val="center"/>
            </w:pPr>
            <w:r>
              <w:t>3</w:t>
            </w:r>
          </w:p>
        </w:tc>
        <w:tc>
          <w:tcPr>
            <w:tcW w:w="2000" w:type="dxa"/>
            <w:tcBorders>
              <w:top w:val="single" w:sz="1" w:space="0" w:color="CCCCCC"/>
              <w:left w:val="single" w:sz="1" w:space="0" w:color="CCCCCC"/>
              <w:bottom w:val="single" w:sz="1" w:space="0" w:color="CCCCCC"/>
              <w:right w:val="single" w:sz="1" w:space="0" w:color="CCCCCC"/>
            </w:tcBorders>
          </w:tcPr>
          <w:p w14:paraId="34B709A8" w14:textId="77777777" w:rsidR="00F51B94" w:rsidRDefault="00000000">
            <w:proofErr w:type="gramStart"/>
            <w:r>
              <w:t>CHAR(</w:t>
            </w:r>
            <w:proofErr w:type="gramEnd"/>
            <w:r>
              <w:t>3)</w:t>
            </w:r>
          </w:p>
        </w:tc>
        <w:tc>
          <w:tcPr>
            <w:tcW w:w="2500" w:type="dxa"/>
            <w:tcBorders>
              <w:top w:val="single" w:sz="1" w:space="0" w:color="CCCCCC"/>
              <w:left w:val="single" w:sz="1" w:space="0" w:color="CCCCCC"/>
              <w:bottom w:val="single" w:sz="1" w:space="0" w:color="CCCCCC"/>
              <w:right w:val="single" w:sz="1" w:space="0" w:color="CCCCCC"/>
            </w:tcBorders>
          </w:tcPr>
          <w:p w14:paraId="6CFA4E7E" w14:textId="77777777" w:rsidR="00F51B94" w:rsidRDefault="00000000">
            <w:r>
              <w:t>2M keys or ±1M numeric</w:t>
            </w:r>
          </w:p>
        </w:tc>
        <w:tc>
          <w:tcPr>
            <w:tcW w:w="3360" w:type="dxa"/>
            <w:tcBorders>
              <w:top w:val="single" w:sz="1" w:space="0" w:color="CCCCCC"/>
              <w:left w:val="single" w:sz="1" w:space="0" w:color="CCCCCC"/>
              <w:bottom w:val="single" w:sz="1" w:space="0" w:color="CCCCCC"/>
              <w:right w:val="single" w:sz="1" w:space="0" w:color="CCCCCC"/>
            </w:tcBorders>
          </w:tcPr>
          <w:p w14:paraId="59A21728" w14:textId="77777777" w:rsidR="00F51B94" w:rsidRDefault="00000000">
            <w:r>
              <w:t>Flight numbers, medium lookups</w:t>
            </w:r>
          </w:p>
        </w:tc>
      </w:tr>
      <w:tr w:rsidR="00F51B94" w14:paraId="283668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7295C5EC" w14:textId="77777777" w:rsidR="00F51B94" w:rsidRDefault="00000000">
            <w:pPr>
              <w:jc w:val="center"/>
            </w:pPr>
            <w:r>
              <w:t>4</w:t>
            </w:r>
          </w:p>
        </w:tc>
        <w:tc>
          <w:tcPr>
            <w:tcW w:w="2000" w:type="dxa"/>
            <w:tcBorders>
              <w:top w:val="single" w:sz="1" w:space="0" w:color="CCCCCC"/>
              <w:left w:val="single" w:sz="1" w:space="0" w:color="CCCCCC"/>
              <w:bottom w:val="single" w:sz="1" w:space="0" w:color="CCCCCC"/>
              <w:right w:val="single" w:sz="1" w:space="0" w:color="CCCCCC"/>
            </w:tcBorders>
          </w:tcPr>
          <w:p w14:paraId="76D6D48F" w14:textId="77777777" w:rsidR="00F51B94" w:rsidRDefault="00000000">
            <w:r>
              <w:t>INTEGER</w:t>
            </w:r>
          </w:p>
        </w:tc>
        <w:tc>
          <w:tcPr>
            <w:tcW w:w="2500" w:type="dxa"/>
            <w:tcBorders>
              <w:top w:val="single" w:sz="1" w:space="0" w:color="CCCCCC"/>
              <w:left w:val="single" w:sz="1" w:space="0" w:color="CCCCCC"/>
              <w:bottom w:val="single" w:sz="1" w:space="0" w:color="CCCCCC"/>
              <w:right w:val="single" w:sz="1" w:space="0" w:color="CCCCCC"/>
            </w:tcBorders>
          </w:tcPr>
          <w:p w14:paraId="2AA56C75" w14:textId="77777777" w:rsidR="00F51B94" w:rsidRDefault="00000000">
            <w:r>
              <w:t>4.2 billion keys or ±2.1B numeric</w:t>
            </w:r>
          </w:p>
        </w:tc>
        <w:tc>
          <w:tcPr>
            <w:tcW w:w="3360" w:type="dxa"/>
            <w:tcBorders>
              <w:top w:val="single" w:sz="1" w:space="0" w:color="CCCCCC"/>
              <w:left w:val="single" w:sz="1" w:space="0" w:color="CCCCCC"/>
              <w:bottom w:val="single" w:sz="1" w:space="0" w:color="CCCCCC"/>
              <w:right w:val="single" w:sz="1" w:space="0" w:color="CCCCCC"/>
            </w:tcBorders>
          </w:tcPr>
          <w:p w14:paraId="273E9DBF" w14:textId="77777777" w:rsidR="00F51B94" w:rsidRDefault="00000000">
            <w:r>
              <w:t>Large lookups, point amounts</w:t>
            </w:r>
          </w:p>
        </w:tc>
      </w:tr>
      <w:tr w:rsidR="00F51B94" w14:paraId="6CA9FD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4A5A88D8" w14:textId="77777777" w:rsidR="00F51B94" w:rsidRDefault="00000000">
            <w:pPr>
              <w:jc w:val="center"/>
            </w:pPr>
            <w:r>
              <w:t>5</w:t>
            </w:r>
          </w:p>
        </w:tc>
        <w:tc>
          <w:tcPr>
            <w:tcW w:w="2000" w:type="dxa"/>
            <w:tcBorders>
              <w:top w:val="single" w:sz="1" w:space="0" w:color="CCCCCC"/>
              <w:left w:val="single" w:sz="1" w:space="0" w:color="CCCCCC"/>
              <w:bottom w:val="single" w:sz="1" w:space="0" w:color="CCCCCC"/>
              <w:right w:val="single" w:sz="1" w:space="0" w:color="CCCCCC"/>
            </w:tcBorders>
          </w:tcPr>
          <w:p w14:paraId="0E4091B3" w14:textId="77777777" w:rsidR="00F51B94" w:rsidRDefault="00000000">
            <w:proofErr w:type="gramStart"/>
            <w:r>
              <w:t>CHAR(</w:t>
            </w:r>
            <w:proofErr w:type="gramEnd"/>
            <w:r>
              <w:t>5)</w:t>
            </w:r>
          </w:p>
        </w:tc>
        <w:tc>
          <w:tcPr>
            <w:tcW w:w="2500" w:type="dxa"/>
            <w:tcBorders>
              <w:top w:val="single" w:sz="1" w:space="0" w:color="CCCCCC"/>
              <w:left w:val="single" w:sz="1" w:space="0" w:color="CCCCCC"/>
              <w:bottom w:val="single" w:sz="1" w:space="0" w:color="CCCCCC"/>
              <w:right w:val="single" w:sz="1" w:space="0" w:color="CCCCCC"/>
            </w:tcBorders>
          </w:tcPr>
          <w:p w14:paraId="5E224197" w14:textId="77777777" w:rsidR="00F51B94" w:rsidRDefault="00000000">
            <w:r>
              <w:t>33B keys or ±16.5B numeric</w:t>
            </w:r>
          </w:p>
        </w:tc>
        <w:tc>
          <w:tcPr>
            <w:tcW w:w="3360" w:type="dxa"/>
            <w:tcBorders>
              <w:top w:val="single" w:sz="1" w:space="0" w:color="CCCCCC"/>
              <w:left w:val="single" w:sz="1" w:space="0" w:color="CCCCCC"/>
              <w:bottom w:val="single" w:sz="1" w:space="0" w:color="CCCCCC"/>
              <w:right w:val="single" w:sz="1" w:space="0" w:color="CCCCCC"/>
            </w:tcBorders>
          </w:tcPr>
          <w:p w14:paraId="633B1538" w14:textId="77777777" w:rsidR="00F51B94" w:rsidRDefault="00000000">
            <w:r>
              <w:t>Primary keys, foreign key references</w:t>
            </w:r>
          </w:p>
        </w:tc>
      </w:tr>
      <w:tr w:rsidR="00F51B94" w14:paraId="29A633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5072EB3D" w14:textId="77777777" w:rsidR="00F51B94" w:rsidRDefault="00000000">
            <w:pPr>
              <w:jc w:val="center"/>
            </w:pPr>
            <w:r>
              <w:t>8</w:t>
            </w:r>
          </w:p>
        </w:tc>
        <w:tc>
          <w:tcPr>
            <w:tcW w:w="2000" w:type="dxa"/>
            <w:tcBorders>
              <w:top w:val="single" w:sz="1" w:space="0" w:color="CCCCCC"/>
              <w:left w:val="single" w:sz="1" w:space="0" w:color="CCCCCC"/>
              <w:bottom w:val="single" w:sz="1" w:space="0" w:color="CCCCCC"/>
              <w:right w:val="single" w:sz="1" w:space="0" w:color="CCCCCC"/>
            </w:tcBorders>
          </w:tcPr>
          <w:p w14:paraId="63B76B62" w14:textId="77777777" w:rsidR="00F51B94" w:rsidRDefault="00000000">
            <w:r>
              <w:t>BIGINT</w:t>
            </w:r>
          </w:p>
        </w:tc>
        <w:tc>
          <w:tcPr>
            <w:tcW w:w="2500" w:type="dxa"/>
            <w:tcBorders>
              <w:top w:val="single" w:sz="1" w:space="0" w:color="CCCCCC"/>
              <w:left w:val="single" w:sz="1" w:space="0" w:color="CCCCCC"/>
              <w:bottom w:val="single" w:sz="1" w:space="0" w:color="CCCCCC"/>
              <w:right w:val="single" w:sz="1" w:space="0" w:color="CCCCCC"/>
            </w:tcBorders>
          </w:tcPr>
          <w:p w14:paraId="0E9F81D8" w14:textId="77777777" w:rsidR="00F51B94" w:rsidRDefault="00000000">
            <w:r>
              <w:t>9.2 quintillion</w:t>
            </w:r>
          </w:p>
        </w:tc>
        <w:tc>
          <w:tcPr>
            <w:tcW w:w="3360" w:type="dxa"/>
            <w:tcBorders>
              <w:top w:val="single" w:sz="1" w:space="0" w:color="CCCCCC"/>
              <w:left w:val="single" w:sz="1" w:space="0" w:color="CCCCCC"/>
              <w:bottom w:val="single" w:sz="1" w:space="0" w:color="CCCCCC"/>
              <w:right w:val="single" w:sz="1" w:space="0" w:color="CCCCCC"/>
            </w:tcBorders>
          </w:tcPr>
          <w:p w14:paraId="1844FCE2" w14:textId="77777777" w:rsidR="00F51B94" w:rsidRDefault="00000000">
            <w:r>
              <w:t>Raw counters (membership numbers)</w:t>
            </w:r>
          </w:p>
        </w:tc>
      </w:tr>
    </w:tbl>
    <w:p w14:paraId="6813C28B" w14:textId="77777777" w:rsidR="00F51B94" w:rsidRDefault="00000000">
      <w:pPr>
        <w:pStyle w:val="Heading1"/>
      </w:pPr>
      <w:r>
        <w:t>Date Compression</w:t>
      </w:r>
    </w:p>
    <w:p w14:paraId="591B3C0A" w14:textId="77777777" w:rsidR="00F51B94" w:rsidRDefault="00000000">
      <w:pPr>
        <w:spacing w:after="200"/>
      </w:pPr>
      <w:r>
        <w:t xml:space="preserve">Standard DATE columns consume 4 bytes. By storing dates as days since a configurable epoch, we achieve the same functionality in 2 bytes—a </w:t>
      </w:r>
      <w:r>
        <w:rPr>
          <w:b/>
          <w:bCs/>
        </w:rPr>
        <w:t>50% reduction</w:t>
      </w:r>
      <w:r>
        <w:t>.</w:t>
      </w:r>
    </w:p>
    <w:p w14:paraId="696F7FA4" w14:textId="77777777" w:rsidR="00F51B94" w:rsidRDefault="00000000">
      <w:pPr>
        <w:spacing w:after="200"/>
      </w:pPr>
      <w:r>
        <w:t>For timestamps, 10-second precision stored as SMALLINT (8,640 values per day) provides adequate granularity for business transactions while reducing 8-byte TIMESTAMP columns to just 4 bytes total (date + time).</w:t>
      </w:r>
    </w:p>
    <w:p w14:paraId="75809A9B" w14:textId="77777777" w:rsidR="00F51B94" w:rsidRDefault="00000000">
      <w:pPr>
        <w:pStyle w:val="Heading1"/>
      </w:pPr>
      <w:r>
        <w:t>Why Not BYTEA?</w:t>
      </w:r>
    </w:p>
    <w:p w14:paraId="61B818F4" w14:textId="77777777" w:rsidR="00F51B94" w:rsidRDefault="00000000">
      <w:pPr>
        <w:spacing w:after="200"/>
      </w:pPr>
      <w:r>
        <w:t>A common approach to flexible storage is using BYTEA (binary) columns that can hold anything. While seemingly flexible, this approach has significant drawbacks.</w:t>
      </w:r>
    </w:p>
    <w:p w14:paraId="6EA23103" w14:textId="77777777" w:rsidR="00F51B94" w:rsidRDefault="00000000">
      <w:pPr>
        <w:spacing w:after="200"/>
      </w:pPr>
      <w:r>
        <w:rPr>
          <w:b/>
          <w:bCs/>
        </w:rPr>
        <w:t>The Overhead Problem:</w:t>
      </w:r>
      <w:r>
        <w:t xml:space="preserve"> BYTEA columns require a length prefix byte, meaning you always lose one byte to overhead. Fixed-width columns store exactly what's needed: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20"/>
        <w:gridCol w:w="3120"/>
      </w:tblGrid>
      <w:tr w:rsidR="00F51B94" w14:paraId="495527B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276"/>
          </w:tcPr>
          <w:p w14:paraId="5F3F4144" w14:textId="77777777" w:rsidR="00F51B94" w:rsidRDefault="00000000">
            <w:pPr>
              <w:jc w:val="center"/>
            </w:pPr>
            <w:r>
              <w:rPr>
                <w:b/>
                <w:bCs/>
                <w:color w:val="FFFFFF"/>
              </w:rPr>
              <w:t>Bytes</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18B7AD3D" w14:textId="77777777" w:rsidR="00F51B94" w:rsidRDefault="00000000">
            <w:pPr>
              <w:jc w:val="center"/>
            </w:pPr>
            <w:r>
              <w:rPr>
                <w:b/>
                <w:bCs/>
                <w:color w:val="FFFFFF"/>
              </w:rPr>
              <w:t>Molecule Capacity</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597DC757" w14:textId="77777777" w:rsidR="00F51B94" w:rsidRDefault="00000000">
            <w:pPr>
              <w:jc w:val="center"/>
            </w:pPr>
            <w:r>
              <w:rPr>
                <w:b/>
                <w:bCs/>
                <w:color w:val="FFFFFF"/>
              </w:rPr>
              <w:t>BYTEA Capacity</w:t>
            </w:r>
          </w:p>
        </w:tc>
      </w:tr>
      <w:tr w:rsidR="00F51B94" w14:paraId="274360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2E0E8B9" w14:textId="77777777" w:rsidR="00F51B94" w:rsidRDefault="00000000">
            <w:pPr>
              <w:jc w:val="center"/>
            </w:pPr>
            <w:r>
              <w:t>1</w:t>
            </w:r>
          </w:p>
        </w:tc>
        <w:tc>
          <w:tcPr>
            <w:tcW w:w="3120" w:type="dxa"/>
            <w:tcBorders>
              <w:top w:val="single" w:sz="1" w:space="0" w:color="CCCCCC"/>
              <w:left w:val="single" w:sz="1" w:space="0" w:color="CCCCCC"/>
              <w:bottom w:val="single" w:sz="1" w:space="0" w:color="CCCCCC"/>
              <w:right w:val="single" w:sz="1" w:space="0" w:color="CCCCCC"/>
            </w:tcBorders>
          </w:tcPr>
          <w:p w14:paraId="694CF438" w14:textId="77777777" w:rsidR="00F51B94" w:rsidRDefault="00000000">
            <w:pPr>
              <w:jc w:val="center"/>
            </w:pPr>
            <w:r>
              <w:t>127</w:t>
            </w:r>
          </w:p>
        </w:tc>
        <w:tc>
          <w:tcPr>
            <w:tcW w:w="3120" w:type="dxa"/>
            <w:tcBorders>
              <w:top w:val="single" w:sz="1" w:space="0" w:color="CCCCCC"/>
              <w:left w:val="single" w:sz="1" w:space="0" w:color="CCCCCC"/>
              <w:bottom w:val="single" w:sz="1" w:space="0" w:color="CCCCCC"/>
              <w:right w:val="single" w:sz="1" w:space="0" w:color="CCCCCC"/>
            </w:tcBorders>
          </w:tcPr>
          <w:p w14:paraId="48420194" w14:textId="77777777" w:rsidR="00F51B94" w:rsidRDefault="00000000">
            <w:pPr>
              <w:jc w:val="center"/>
            </w:pPr>
            <w:r>
              <w:t>N/A</w:t>
            </w:r>
          </w:p>
        </w:tc>
      </w:tr>
      <w:tr w:rsidR="00F51B94" w14:paraId="4EC660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5EDC26F6" w14:textId="77777777" w:rsidR="00F51B94" w:rsidRDefault="00000000">
            <w:pPr>
              <w:jc w:val="center"/>
            </w:pPr>
            <w:r>
              <w:t>2</w:t>
            </w:r>
          </w:p>
        </w:tc>
        <w:tc>
          <w:tcPr>
            <w:tcW w:w="3120" w:type="dxa"/>
            <w:tcBorders>
              <w:top w:val="single" w:sz="1" w:space="0" w:color="CCCCCC"/>
              <w:left w:val="single" w:sz="1" w:space="0" w:color="CCCCCC"/>
              <w:bottom w:val="single" w:sz="1" w:space="0" w:color="CCCCCC"/>
              <w:right w:val="single" w:sz="1" w:space="0" w:color="CCCCCC"/>
            </w:tcBorders>
          </w:tcPr>
          <w:p w14:paraId="3ECFA37A" w14:textId="77777777" w:rsidR="00F51B94" w:rsidRDefault="00000000">
            <w:pPr>
              <w:jc w:val="center"/>
            </w:pPr>
            <w:r>
              <w:t>65,535</w:t>
            </w:r>
          </w:p>
        </w:tc>
        <w:tc>
          <w:tcPr>
            <w:tcW w:w="3120" w:type="dxa"/>
            <w:tcBorders>
              <w:top w:val="single" w:sz="1" w:space="0" w:color="CCCCCC"/>
              <w:left w:val="single" w:sz="1" w:space="0" w:color="CCCCCC"/>
              <w:bottom w:val="single" w:sz="1" w:space="0" w:color="CCCCCC"/>
              <w:right w:val="single" w:sz="1" w:space="0" w:color="CCCCCC"/>
            </w:tcBorders>
          </w:tcPr>
          <w:p w14:paraId="3EBF5FAE" w14:textId="77777777" w:rsidR="00F51B94" w:rsidRDefault="00000000">
            <w:pPr>
              <w:jc w:val="center"/>
            </w:pPr>
            <w:r>
              <w:t>256</w:t>
            </w:r>
          </w:p>
        </w:tc>
      </w:tr>
      <w:tr w:rsidR="00F51B94" w14:paraId="179A58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2B69CF8E" w14:textId="77777777" w:rsidR="00F51B94" w:rsidRDefault="00000000">
            <w:pPr>
              <w:jc w:val="center"/>
            </w:pPr>
            <w:r>
              <w:t>3</w:t>
            </w:r>
          </w:p>
        </w:tc>
        <w:tc>
          <w:tcPr>
            <w:tcW w:w="3120" w:type="dxa"/>
            <w:tcBorders>
              <w:top w:val="single" w:sz="1" w:space="0" w:color="CCCCCC"/>
              <w:left w:val="single" w:sz="1" w:space="0" w:color="CCCCCC"/>
              <w:bottom w:val="single" w:sz="1" w:space="0" w:color="CCCCCC"/>
              <w:right w:val="single" w:sz="1" w:space="0" w:color="CCCCCC"/>
            </w:tcBorders>
          </w:tcPr>
          <w:p w14:paraId="154C430B" w14:textId="77777777" w:rsidR="00F51B94" w:rsidRDefault="00000000">
            <w:pPr>
              <w:jc w:val="center"/>
            </w:pPr>
            <w:r>
              <w:t>2,048,383</w:t>
            </w:r>
          </w:p>
        </w:tc>
        <w:tc>
          <w:tcPr>
            <w:tcW w:w="3120" w:type="dxa"/>
            <w:tcBorders>
              <w:top w:val="single" w:sz="1" w:space="0" w:color="CCCCCC"/>
              <w:left w:val="single" w:sz="1" w:space="0" w:color="CCCCCC"/>
              <w:bottom w:val="single" w:sz="1" w:space="0" w:color="CCCCCC"/>
              <w:right w:val="single" w:sz="1" w:space="0" w:color="CCCCCC"/>
            </w:tcBorders>
          </w:tcPr>
          <w:p w14:paraId="29B4C946" w14:textId="77777777" w:rsidR="00F51B94" w:rsidRDefault="00000000">
            <w:pPr>
              <w:jc w:val="center"/>
            </w:pPr>
            <w:r>
              <w:t>65,536</w:t>
            </w:r>
          </w:p>
        </w:tc>
      </w:tr>
      <w:tr w:rsidR="00F51B94" w14:paraId="72B2B3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174E5AB1" w14:textId="77777777" w:rsidR="00F51B94" w:rsidRDefault="00000000">
            <w:pPr>
              <w:jc w:val="center"/>
            </w:pPr>
            <w:r>
              <w:t>4</w:t>
            </w:r>
          </w:p>
        </w:tc>
        <w:tc>
          <w:tcPr>
            <w:tcW w:w="3120" w:type="dxa"/>
            <w:tcBorders>
              <w:top w:val="single" w:sz="1" w:space="0" w:color="CCCCCC"/>
              <w:left w:val="single" w:sz="1" w:space="0" w:color="CCCCCC"/>
              <w:bottom w:val="single" w:sz="1" w:space="0" w:color="CCCCCC"/>
              <w:right w:val="single" w:sz="1" w:space="0" w:color="CCCCCC"/>
            </w:tcBorders>
          </w:tcPr>
          <w:p w14:paraId="33F9E915" w14:textId="77777777" w:rsidR="00F51B94" w:rsidRDefault="00000000">
            <w:pPr>
              <w:jc w:val="center"/>
            </w:pPr>
            <w:r>
              <w:t>4.3 billion</w:t>
            </w:r>
          </w:p>
        </w:tc>
        <w:tc>
          <w:tcPr>
            <w:tcW w:w="3120" w:type="dxa"/>
            <w:tcBorders>
              <w:top w:val="single" w:sz="1" w:space="0" w:color="CCCCCC"/>
              <w:left w:val="single" w:sz="1" w:space="0" w:color="CCCCCC"/>
              <w:bottom w:val="single" w:sz="1" w:space="0" w:color="CCCCCC"/>
              <w:right w:val="single" w:sz="1" w:space="0" w:color="CCCCCC"/>
            </w:tcBorders>
          </w:tcPr>
          <w:p w14:paraId="156F87A0" w14:textId="77777777" w:rsidR="00F51B94" w:rsidRDefault="00000000">
            <w:pPr>
              <w:jc w:val="center"/>
            </w:pPr>
            <w:r>
              <w:t>16.7 million</w:t>
            </w:r>
          </w:p>
        </w:tc>
      </w:tr>
      <w:tr w:rsidR="00F51B94" w14:paraId="1244B9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4C8C0730" w14:textId="77777777" w:rsidR="00F51B94" w:rsidRDefault="00000000">
            <w:pPr>
              <w:jc w:val="center"/>
            </w:pPr>
            <w:r>
              <w:t>5</w:t>
            </w:r>
          </w:p>
        </w:tc>
        <w:tc>
          <w:tcPr>
            <w:tcW w:w="3120" w:type="dxa"/>
            <w:tcBorders>
              <w:top w:val="single" w:sz="1" w:space="0" w:color="CCCCCC"/>
              <w:left w:val="single" w:sz="1" w:space="0" w:color="CCCCCC"/>
              <w:bottom w:val="single" w:sz="1" w:space="0" w:color="CCCCCC"/>
              <w:right w:val="single" w:sz="1" w:space="0" w:color="CCCCCC"/>
            </w:tcBorders>
          </w:tcPr>
          <w:p w14:paraId="32FC93E1" w14:textId="77777777" w:rsidR="00F51B94" w:rsidRDefault="00000000">
            <w:pPr>
              <w:jc w:val="center"/>
            </w:pPr>
            <w:r>
              <w:t>33 billion</w:t>
            </w:r>
          </w:p>
        </w:tc>
        <w:tc>
          <w:tcPr>
            <w:tcW w:w="3120" w:type="dxa"/>
            <w:tcBorders>
              <w:top w:val="single" w:sz="1" w:space="0" w:color="CCCCCC"/>
              <w:left w:val="single" w:sz="1" w:space="0" w:color="CCCCCC"/>
              <w:bottom w:val="single" w:sz="1" w:space="0" w:color="CCCCCC"/>
              <w:right w:val="single" w:sz="1" w:space="0" w:color="CCCCCC"/>
            </w:tcBorders>
          </w:tcPr>
          <w:p w14:paraId="1EC1F79B" w14:textId="77777777" w:rsidR="00F51B94" w:rsidRDefault="00000000">
            <w:pPr>
              <w:jc w:val="center"/>
            </w:pPr>
            <w:r>
              <w:t>4.3 billion</w:t>
            </w:r>
          </w:p>
        </w:tc>
      </w:tr>
    </w:tbl>
    <w:p w14:paraId="717E9C7F" w14:textId="77777777" w:rsidR="00F51B94" w:rsidRDefault="00000000">
      <w:pPr>
        <w:spacing w:before="200" w:after="200"/>
      </w:pPr>
      <w:r>
        <w:t xml:space="preserve">At 4 bytes, molecules provide </w:t>
      </w:r>
      <w:r>
        <w:rPr>
          <w:b/>
          <w:bCs/>
        </w:rPr>
        <w:t>257× more capacity</w:t>
      </w:r>
      <w:r>
        <w:t xml:space="preserve"> than BYTEA. Beyond storage efficiency, BYTEA has fundamental limitations: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4"/>
        <w:gridCol w:w="4510"/>
      </w:tblGrid>
      <w:tr w:rsidR="00F51B94" w14:paraId="24E5401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922B21"/>
          </w:tcPr>
          <w:p w14:paraId="2146A3DB" w14:textId="77777777" w:rsidR="00F51B94" w:rsidRDefault="00000000">
            <w:pPr>
              <w:jc w:val="center"/>
            </w:pPr>
            <w:r>
              <w:rPr>
                <w:b/>
                <w:bCs/>
                <w:color w:val="FFFFFF"/>
              </w:rPr>
              <w:lastRenderedPageBreak/>
              <w:t>BYTEA Approach</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Pr>
          <w:p w14:paraId="2E08DBCE" w14:textId="77777777" w:rsidR="00F51B94" w:rsidRDefault="00000000">
            <w:pPr>
              <w:jc w:val="center"/>
            </w:pPr>
            <w:r>
              <w:rPr>
                <w:b/>
                <w:bCs/>
                <w:color w:val="FFFFFF"/>
              </w:rPr>
              <w:t>Molecule Approach</w:t>
            </w:r>
          </w:p>
        </w:tc>
      </w:tr>
      <w:tr w:rsidR="00F51B94" w14:paraId="112225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9D93696" w14:textId="77777777" w:rsidR="00F51B94" w:rsidRDefault="00000000">
            <w:r>
              <w:t>Cannot index individual values</w:t>
            </w:r>
          </w:p>
        </w:tc>
        <w:tc>
          <w:tcPr>
            <w:tcW w:w="4680" w:type="dxa"/>
            <w:tcBorders>
              <w:top w:val="single" w:sz="1" w:space="0" w:color="CCCCCC"/>
              <w:left w:val="single" w:sz="1" w:space="0" w:color="CCCCCC"/>
              <w:bottom w:val="single" w:sz="1" w:space="0" w:color="CCCCCC"/>
              <w:right w:val="single" w:sz="1" w:space="0" w:color="CCCCCC"/>
            </w:tcBorders>
          </w:tcPr>
          <w:p w14:paraId="6D0FC5BF" w14:textId="77777777" w:rsidR="00F51B94" w:rsidRDefault="00000000">
            <w:r>
              <w:t>Fully indexable typed columns</w:t>
            </w:r>
          </w:p>
        </w:tc>
      </w:tr>
      <w:tr w:rsidR="00F51B94" w14:paraId="086B32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60575BE" w14:textId="77777777" w:rsidR="00F51B94" w:rsidRDefault="00000000">
            <w:r>
              <w:t>Cannot sort by content</w:t>
            </w:r>
          </w:p>
        </w:tc>
        <w:tc>
          <w:tcPr>
            <w:tcW w:w="4680" w:type="dxa"/>
            <w:tcBorders>
              <w:top w:val="single" w:sz="1" w:space="0" w:color="CCCCCC"/>
              <w:left w:val="single" w:sz="1" w:space="0" w:color="CCCCCC"/>
              <w:bottom w:val="single" w:sz="1" w:space="0" w:color="CCCCCC"/>
              <w:right w:val="single" w:sz="1" w:space="0" w:color="CCCCCC"/>
            </w:tcBorders>
          </w:tcPr>
          <w:p w14:paraId="7A82D67B" w14:textId="77777777" w:rsidR="00F51B94" w:rsidRDefault="00000000">
            <w:r>
              <w:t>Natural sort order preserved</w:t>
            </w:r>
          </w:p>
        </w:tc>
      </w:tr>
      <w:tr w:rsidR="00F51B94" w14:paraId="40C50C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37A88A5" w14:textId="77777777" w:rsidR="00F51B94" w:rsidRDefault="00000000">
            <w:r>
              <w:t>Opaque to query optimizer</w:t>
            </w:r>
          </w:p>
        </w:tc>
        <w:tc>
          <w:tcPr>
            <w:tcW w:w="4680" w:type="dxa"/>
            <w:tcBorders>
              <w:top w:val="single" w:sz="1" w:space="0" w:color="CCCCCC"/>
              <w:left w:val="single" w:sz="1" w:space="0" w:color="CCCCCC"/>
              <w:bottom w:val="single" w:sz="1" w:space="0" w:color="CCCCCC"/>
              <w:right w:val="single" w:sz="1" w:space="0" w:color="CCCCCC"/>
            </w:tcBorders>
          </w:tcPr>
          <w:p w14:paraId="5ED8DDE2" w14:textId="77777777" w:rsidR="00F51B94" w:rsidRDefault="00000000">
            <w:r>
              <w:t>Optimizer understands data distribution</w:t>
            </w:r>
          </w:p>
        </w:tc>
      </w:tr>
      <w:tr w:rsidR="00F51B94" w14:paraId="2517A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628DDA87" w14:textId="77777777" w:rsidR="00F51B94" w:rsidRDefault="00000000">
            <w:r>
              <w:t xml:space="preserve">No </w:t>
            </w:r>
            <w:proofErr w:type="gramStart"/>
            <w:r>
              <w:t>type</w:t>
            </w:r>
            <w:proofErr w:type="gramEnd"/>
            <w:r>
              <w:t xml:space="preserve"> enforcement</w:t>
            </w:r>
          </w:p>
        </w:tc>
        <w:tc>
          <w:tcPr>
            <w:tcW w:w="4680" w:type="dxa"/>
            <w:tcBorders>
              <w:top w:val="single" w:sz="1" w:space="0" w:color="CCCCCC"/>
              <w:left w:val="single" w:sz="1" w:space="0" w:color="CCCCCC"/>
              <w:bottom w:val="single" w:sz="1" w:space="0" w:color="CCCCCC"/>
              <w:right w:val="single" w:sz="1" w:space="0" w:color="CCCCCC"/>
            </w:tcBorders>
          </w:tcPr>
          <w:p w14:paraId="77056599" w14:textId="77777777" w:rsidR="00F51B94" w:rsidRDefault="00000000">
            <w:r>
              <w:t>Database enforces correct types</w:t>
            </w:r>
          </w:p>
        </w:tc>
      </w:tr>
      <w:tr w:rsidR="00F51B94" w14:paraId="060108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7B1A57E" w14:textId="77777777" w:rsidR="00F51B94" w:rsidRDefault="00000000">
            <w:r>
              <w:t>Requires application-side interpretation</w:t>
            </w:r>
          </w:p>
        </w:tc>
        <w:tc>
          <w:tcPr>
            <w:tcW w:w="4680" w:type="dxa"/>
            <w:tcBorders>
              <w:top w:val="single" w:sz="1" w:space="0" w:color="CCCCCC"/>
              <w:left w:val="single" w:sz="1" w:space="0" w:color="CCCCCC"/>
              <w:bottom w:val="single" w:sz="1" w:space="0" w:color="CCCCCC"/>
              <w:right w:val="single" w:sz="1" w:space="0" w:color="CCCCCC"/>
            </w:tcBorders>
          </w:tcPr>
          <w:p w14:paraId="1526A127" w14:textId="77777777" w:rsidR="00F51B94" w:rsidRDefault="00000000">
            <w:r>
              <w:t>Database-native operations</w:t>
            </w:r>
          </w:p>
        </w:tc>
      </w:tr>
      <w:tr w:rsidR="00F51B94" w14:paraId="1859AE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0AFB3DF" w14:textId="77777777" w:rsidR="00F51B94" w:rsidRDefault="00000000">
            <w:r>
              <w:t>Variable length adds overhead</w:t>
            </w:r>
          </w:p>
        </w:tc>
        <w:tc>
          <w:tcPr>
            <w:tcW w:w="4680" w:type="dxa"/>
            <w:tcBorders>
              <w:top w:val="single" w:sz="1" w:space="0" w:color="CCCCCC"/>
              <w:left w:val="single" w:sz="1" w:space="0" w:color="CCCCCC"/>
              <w:bottom w:val="single" w:sz="1" w:space="0" w:color="CCCCCC"/>
              <w:right w:val="single" w:sz="1" w:space="0" w:color="CCCCCC"/>
            </w:tcBorders>
          </w:tcPr>
          <w:p w14:paraId="1F9453A5" w14:textId="77777777" w:rsidR="00F51B94" w:rsidRDefault="00000000">
            <w:r>
              <w:t>Fixed-width columns, cache-friendly</w:t>
            </w:r>
          </w:p>
        </w:tc>
      </w:tr>
    </w:tbl>
    <w:p w14:paraId="4387F18A" w14:textId="77777777" w:rsidR="00F51B94" w:rsidRDefault="00000000">
      <w:pPr>
        <w:pStyle w:val="Heading1"/>
      </w:pPr>
      <w:r>
        <w:t>Dynamic Table Architecture</w:t>
      </w:r>
    </w:p>
    <w:p w14:paraId="514A05D6" w14:textId="323AC6F7" w:rsidR="00F51B94" w:rsidRDefault="00000000">
      <w:pPr>
        <w:spacing w:after="200"/>
      </w:pPr>
      <w:r>
        <w:t xml:space="preserve">Rather than a single generic storage table, the molecule system uses </w:t>
      </w:r>
      <w:r w:rsidR="0092106D">
        <w:t xml:space="preserve">dynamically created, </w:t>
      </w:r>
      <w:r>
        <w:t>purpose-built tables with names that encode their structure:</w:t>
      </w:r>
    </w:p>
    <w:p w14:paraId="1FCEC041" w14:textId="77777777" w:rsidR="00F51B94" w:rsidRDefault="00000000">
      <w:pPr>
        <w:spacing w:after="200"/>
      </w:pPr>
      <w:r>
        <w:rPr>
          <w:rFonts w:ascii="Courier New" w:eastAsia="Courier New" w:hAnsi="Courier New" w:cs="Courier New"/>
          <w:sz w:val="22"/>
          <w:szCs w:val="22"/>
        </w:rPr>
        <w:t>{</w:t>
      </w:r>
      <w:proofErr w:type="spellStart"/>
      <w:r>
        <w:rPr>
          <w:rFonts w:ascii="Courier New" w:eastAsia="Courier New" w:hAnsi="Courier New" w:cs="Courier New"/>
          <w:sz w:val="22"/>
          <w:szCs w:val="22"/>
        </w:rPr>
        <w:t>link_</w:t>
      </w:r>
      <w:proofErr w:type="gramStart"/>
      <w:r>
        <w:rPr>
          <w:rFonts w:ascii="Courier New" w:eastAsia="Courier New" w:hAnsi="Courier New" w:cs="Courier New"/>
          <w:sz w:val="22"/>
          <w:szCs w:val="22"/>
        </w:rPr>
        <w:t>bytes</w:t>
      </w:r>
      <w:proofErr w:type="spellEnd"/>
      <w:r>
        <w:rPr>
          <w:rFonts w:ascii="Courier New" w:eastAsia="Courier New" w:hAnsi="Courier New" w:cs="Courier New"/>
          <w:sz w:val="22"/>
          <w:szCs w:val="22"/>
        </w:rPr>
        <w:t>}_</w:t>
      </w:r>
      <w:proofErr w:type="gramEnd"/>
      <w:r>
        <w:rPr>
          <w:rFonts w:ascii="Courier New" w:eastAsia="Courier New" w:hAnsi="Courier New" w:cs="Courier New"/>
          <w:sz w:val="22"/>
          <w:szCs w:val="22"/>
        </w:rPr>
        <w:t>data_{</w:t>
      </w:r>
      <w:proofErr w:type="spellStart"/>
      <w:r>
        <w:rPr>
          <w:rFonts w:ascii="Courier New" w:eastAsia="Courier New" w:hAnsi="Courier New" w:cs="Courier New"/>
          <w:sz w:val="22"/>
          <w:szCs w:val="22"/>
        </w:rPr>
        <w:t>storage_pattern</w:t>
      </w:r>
      <w:proofErr w:type="spellEnd"/>
      <w:r>
        <w:rPr>
          <w:rFonts w:ascii="Courier New" w:eastAsia="Courier New" w:hAnsi="Courier New" w:cs="Courier New"/>
          <w:sz w:val="22"/>
          <w:szCs w:val="22"/>
        </w:rPr>
        <w:t>}</w:t>
      </w:r>
    </w:p>
    <w:p w14:paraId="59B24B76" w14:textId="77777777" w:rsidR="00F51B94" w:rsidRDefault="00000000">
      <w:pPr>
        <w:spacing w:after="200"/>
      </w:pPr>
      <w:r>
        <w:t>Examples:</w:t>
      </w:r>
    </w:p>
    <w:p w14:paraId="2805E382" w14:textId="77777777" w:rsidR="00F51B94" w:rsidRDefault="00000000">
      <w:pPr>
        <w:pStyle w:val="ListParagraph"/>
        <w:numPr>
          <w:ilvl w:val="0"/>
          <w:numId w:val="2"/>
        </w:numPr>
      </w:pPr>
      <w:r>
        <w:rPr>
          <w:rFonts w:ascii="Courier New" w:eastAsia="Courier New" w:hAnsi="Courier New" w:cs="Courier New"/>
        </w:rPr>
        <w:t>5_data_1</w:t>
      </w:r>
      <w:r>
        <w:t xml:space="preserve"> — 5-byte parent link, 1-byte CHAR value</w:t>
      </w:r>
    </w:p>
    <w:p w14:paraId="04F5AC73" w14:textId="77777777" w:rsidR="00F51B94" w:rsidRDefault="00000000">
      <w:pPr>
        <w:pStyle w:val="ListParagraph"/>
        <w:numPr>
          <w:ilvl w:val="0"/>
          <w:numId w:val="2"/>
        </w:numPr>
      </w:pPr>
      <w:r>
        <w:rPr>
          <w:rFonts w:ascii="Courier New" w:eastAsia="Courier New" w:hAnsi="Courier New" w:cs="Courier New"/>
        </w:rPr>
        <w:t>5_data_2</w:t>
      </w:r>
      <w:r>
        <w:t xml:space="preserve"> — 5-byte parent link, 2-byte SMALLINT value</w:t>
      </w:r>
    </w:p>
    <w:p w14:paraId="5FE5706C" w14:textId="77777777" w:rsidR="00F51B94" w:rsidRDefault="00000000">
      <w:pPr>
        <w:pStyle w:val="ListParagraph"/>
        <w:numPr>
          <w:ilvl w:val="0"/>
          <w:numId w:val="2"/>
        </w:numPr>
      </w:pPr>
      <w:r>
        <w:rPr>
          <w:rFonts w:ascii="Courier New" w:eastAsia="Courier New" w:hAnsi="Courier New" w:cs="Courier New"/>
        </w:rPr>
        <w:t>5_data_54</w:t>
      </w:r>
      <w:r>
        <w:t xml:space="preserve"> — 5-byte parent link, composite: 5-byte CHAR + 4-byte INTEGER</w:t>
      </w:r>
    </w:p>
    <w:p w14:paraId="0016C55E" w14:textId="77777777" w:rsidR="00F51B94" w:rsidRDefault="00000000">
      <w:pPr>
        <w:pStyle w:val="ListParagraph"/>
        <w:numPr>
          <w:ilvl w:val="0"/>
          <w:numId w:val="2"/>
        </w:numPr>
      </w:pPr>
      <w:r>
        <w:rPr>
          <w:rFonts w:ascii="Courier New" w:eastAsia="Courier New" w:hAnsi="Courier New" w:cs="Courier New"/>
        </w:rPr>
        <w:t>5_data_2244</w:t>
      </w:r>
      <w:r>
        <w:t xml:space="preserve"> — 5-byte parent link, composite: two 2-byte + two 4-byte values</w:t>
      </w:r>
    </w:p>
    <w:p w14:paraId="049E4A5E" w14:textId="77777777" w:rsidR="00F51B94" w:rsidRDefault="00000000">
      <w:pPr>
        <w:spacing w:before="200" w:after="200"/>
      </w:pPr>
      <w:r>
        <w:rPr>
          <w:b/>
          <w:bCs/>
        </w:rPr>
        <w:t>The table name IS the metadata</w:t>
      </w:r>
      <w:r>
        <w:t>. No lookup required to determine structure—the routing is self-describing.</w:t>
      </w:r>
    </w:p>
    <w:p w14:paraId="4797B9DD" w14:textId="77777777" w:rsidR="00F51B94" w:rsidRDefault="00000000">
      <w:pPr>
        <w:pStyle w:val="Heading1"/>
      </w:pPr>
      <w:r>
        <w:t>Eliminating Intersection Tables</w:t>
      </w:r>
    </w:p>
    <w:p w14:paraId="22C21FE2" w14:textId="77777777" w:rsidR="00F51B94" w:rsidRDefault="00000000">
      <w:pPr>
        <w:spacing w:after="200"/>
      </w:pPr>
      <w:r>
        <w:t>Traditional flexible schemas require intersection tables to map attribute types to storage locations:</w:t>
      </w:r>
    </w:p>
    <w:p w14:paraId="0C4DE524" w14:textId="77777777" w:rsidR="00F51B94" w:rsidRDefault="00000000">
      <w:pPr>
        <w:spacing w:after="120"/>
      </w:pPr>
      <w:r>
        <w:rPr>
          <w:b/>
          <w:bCs/>
        </w:rPr>
        <w:t>Traditional approach:</w:t>
      </w:r>
    </w:p>
    <w:p w14:paraId="235C46DC" w14:textId="77777777" w:rsidR="00F51B94" w:rsidRDefault="00000000">
      <w:pPr>
        <w:pStyle w:val="ListParagraph"/>
        <w:numPr>
          <w:ilvl w:val="0"/>
          <w:numId w:val="3"/>
        </w:numPr>
      </w:pPr>
      <w:r>
        <w:t>Query metadata table: "What type is this attribute?"</w:t>
      </w:r>
    </w:p>
    <w:p w14:paraId="261722EA" w14:textId="77777777" w:rsidR="00F51B94" w:rsidRDefault="00000000">
      <w:pPr>
        <w:pStyle w:val="ListParagraph"/>
        <w:numPr>
          <w:ilvl w:val="0"/>
          <w:numId w:val="3"/>
        </w:numPr>
      </w:pPr>
      <w:r>
        <w:t>Get answer: "numeric"</w:t>
      </w:r>
    </w:p>
    <w:p w14:paraId="60A33F4D" w14:textId="77777777" w:rsidR="00F51B94" w:rsidRDefault="00000000">
      <w:pPr>
        <w:pStyle w:val="ListParagraph"/>
        <w:numPr>
          <w:ilvl w:val="0"/>
          <w:numId w:val="3"/>
        </w:numPr>
      </w:pPr>
      <w:r>
        <w:t xml:space="preserve">Query </w:t>
      </w:r>
      <w:proofErr w:type="spellStart"/>
      <w:r>
        <w:t>numeric_values</w:t>
      </w:r>
      <w:proofErr w:type="spellEnd"/>
      <w:r>
        <w:t xml:space="preserve"> table with attribute ID</w:t>
      </w:r>
    </w:p>
    <w:p w14:paraId="71C05412" w14:textId="77777777" w:rsidR="00F51B94" w:rsidRDefault="00000000">
      <w:pPr>
        <w:spacing w:before="200" w:after="120"/>
      </w:pPr>
      <w:r>
        <w:rPr>
          <w:b/>
          <w:bCs/>
        </w:rPr>
        <w:t>Molecule approach:</w:t>
      </w:r>
    </w:p>
    <w:p w14:paraId="7A663457" w14:textId="77777777" w:rsidR="00F51B94" w:rsidRDefault="00000000">
      <w:pPr>
        <w:pStyle w:val="ListParagraph"/>
        <w:numPr>
          <w:ilvl w:val="0"/>
          <w:numId w:val="3"/>
        </w:numPr>
      </w:pPr>
      <w:proofErr w:type="spellStart"/>
      <w:r>
        <w:t>molecule_def</w:t>
      </w:r>
      <w:proofErr w:type="spellEnd"/>
      <w:r>
        <w:t xml:space="preserve"> says </w:t>
      </w:r>
      <w:proofErr w:type="spellStart"/>
      <w:r>
        <w:t>storage_size</w:t>
      </w:r>
      <w:proofErr w:type="spellEnd"/>
      <w:r>
        <w:t xml:space="preserve"> = '2'</w:t>
      </w:r>
    </w:p>
    <w:p w14:paraId="3DF2ECE9" w14:textId="77777777" w:rsidR="00F51B94" w:rsidRDefault="00000000">
      <w:pPr>
        <w:pStyle w:val="ListParagraph"/>
        <w:numPr>
          <w:ilvl w:val="0"/>
          <w:numId w:val="3"/>
        </w:numPr>
      </w:pPr>
      <w:r>
        <w:t>Go directly to 5_data_2</w:t>
      </w:r>
    </w:p>
    <w:p w14:paraId="2B777180" w14:textId="77777777" w:rsidR="00F51B94" w:rsidRDefault="00000000">
      <w:pPr>
        <w:spacing w:before="200" w:after="200"/>
      </w:pPr>
      <w:r>
        <w:rPr>
          <w:b/>
          <w:bCs/>
        </w:rPr>
        <w:t>One hop instead of two</w:t>
      </w:r>
      <w:r>
        <w:t>. At scale, eliminating joins compounds into significant performance gains.</w:t>
      </w:r>
    </w:p>
    <w:p w14:paraId="204A0096" w14:textId="77777777" w:rsidR="00F51B94" w:rsidRDefault="00000000">
      <w:r>
        <w:br w:type="page"/>
      </w:r>
    </w:p>
    <w:p w14:paraId="5205401A" w14:textId="77777777" w:rsidR="00F51B94" w:rsidRDefault="00000000">
      <w:pPr>
        <w:pStyle w:val="Heading1"/>
      </w:pPr>
      <w:r>
        <w:lastRenderedPageBreak/>
        <w:t>Comparison to Common Alternatives</w:t>
      </w:r>
    </w:p>
    <w:p w14:paraId="2E78F578" w14:textId="77777777" w:rsidR="00F51B94" w:rsidRDefault="00000000">
      <w:pPr>
        <w:pStyle w:val="Heading2"/>
      </w:pPr>
      <w:r>
        <w:t>JSON/JSONB Columns</w:t>
      </w:r>
    </w:p>
    <w:p w14:paraId="716DD621" w14:textId="77777777" w:rsidR="00F51B94" w:rsidRDefault="00000000">
      <w:pPr>
        <w:spacing w:after="200"/>
      </w:pPr>
      <w:r>
        <w:t>Storing flexible data as JSON is popular but problematic at scale:</w:t>
      </w:r>
    </w:p>
    <w:p w14:paraId="1DBCB284" w14:textId="77777777" w:rsidR="00F51B94" w:rsidRDefault="00000000">
      <w:pPr>
        <w:pStyle w:val="ListParagraph"/>
        <w:numPr>
          <w:ilvl w:val="0"/>
          <w:numId w:val="2"/>
        </w:numPr>
      </w:pPr>
      <w:r>
        <w:t>Bloated storage—keys repeated in every document</w:t>
      </w:r>
    </w:p>
    <w:p w14:paraId="6B193576" w14:textId="77777777" w:rsidR="00F51B94" w:rsidRDefault="00000000">
      <w:pPr>
        <w:pStyle w:val="ListParagraph"/>
        <w:numPr>
          <w:ilvl w:val="0"/>
          <w:numId w:val="2"/>
        </w:numPr>
      </w:pPr>
      <w:r>
        <w:t>Indexing individual fields requires specialized syntax</w:t>
      </w:r>
    </w:p>
    <w:p w14:paraId="4124E2F5" w14:textId="77777777" w:rsidR="00F51B94" w:rsidRDefault="00000000">
      <w:pPr>
        <w:pStyle w:val="ListParagraph"/>
        <w:numPr>
          <w:ilvl w:val="0"/>
          <w:numId w:val="2"/>
        </w:numPr>
      </w:pPr>
      <w:r>
        <w:t xml:space="preserve">No </w:t>
      </w:r>
      <w:proofErr w:type="gramStart"/>
      <w:r>
        <w:t>type</w:t>
      </w:r>
      <w:proofErr w:type="gramEnd"/>
      <w:r>
        <w:t xml:space="preserve"> enforcement at storage level</w:t>
      </w:r>
    </w:p>
    <w:p w14:paraId="3F23AAD8" w14:textId="77777777" w:rsidR="00F51B94" w:rsidRDefault="00000000">
      <w:pPr>
        <w:pStyle w:val="ListParagraph"/>
        <w:numPr>
          <w:ilvl w:val="0"/>
          <w:numId w:val="2"/>
        </w:numPr>
      </w:pPr>
      <w:r>
        <w:t>Query optimizer cannot estimate selectivity</w:t>
      </w:r>
    </w:p>
    <w:p w14:paraId="565DF224" w14:textId="77777777" w:rsidR="00F51B94" w:rsidRDefault="00000000">
      <w:pPr>
        <w:pStyle w:val="Heading2"/>
      </w:pPr>
      <w:r>
        <w:t>Wide Tables ("Just Add Columns")</w:t>
      </w:r>
    </w:p>
    <w:p w14:paraId="6D1F2877" w14:textId="77777777" w:rsidR="00F51B94" w:rsidRDefault="00000000">
      <w:pPr>
        <w:spacing w:after="200"/>
      </w:pPr>
      <w:r>
        <w:t>Adding columns as requirements grow creates maintenance burden:</w:t>
      </w:r>
    </w:p>
    <w:p w14:paraId="5F6051D1" w14:textId="77777777" w:rsidR="00F51B94" w:rsidRDefault="00000000">
      <w:pPr>
        <w:pStyle w:val="ListParagraph"/>
        <w:numPr>
          <w:ilvl w:val="0"/>
          <w:numId w:val="2"/>
        </w:numPr>
      </w:pPr>
      <w:r>
        <w:t>Schema migrations require downtime or complex tooling</w:t>
      </w:r>
    </w:p>
    <w:p w14:paraId="0D2FB10C" w14:textId="77777777" w:rsidR="00F51B94" w:rsidRDefault="00000000">
      <w:pPr>
        <w:pStyle w:val="ListParagraph"/>
        <w:numPr>
          <w:ilvl w:val="0"/>
          <w:numId w:val="2"/>
        </w:numPr>
      </w:pPr>
      <w:r>
        <w:t>Sparse data wastes storage and complicates queries</w:t>
      </w:r>
    </w:p>
    <w:p w14:paraId="79A7BEF8" w14:textId="77777777" w:rsidR="00F51B94" w:rsidRDefault="00000000">
      <w:pPr>
        <w:pStyle w:val="ListParagraph"/>
        <w:numPr>
          <w:ilvl w:val="0"/>
          <w:numId w:val="2"/>
        </w:numPr>
      </w:pPr>
      <w:r>
        <w:t>Airline columns meaningless for hotel tenants</w:t>
      </w:r>
    </w:p>
    <w:p w14:paraId="33563757" w14:textId="77777777" w:rsidR="00F51B94" w:rsidRDefault="00000000">
      <w:pPr>
        <w:pStyle w:val="ListParagraph"/>
        <w:numPr>
          <w:ilvl w:val="0"/>
          <w:numId w:val="2"/>
        </w:numPr>
      </w:pPr>
      <w:r>
        <w:t>Column limits become real constraints at scale</w:t>
      </w:r>
    </w:p>
    <w:p w14:paraId="0D95D934" w14:textId="77777777" w:rsidR="00F51B94" w:rsidRDefault="00000000">
      <w:pPr>
        <w:pStyle w:val="Heading2"/>
      </w:pPr>
      <w:r>
        <w:t>Document Databases</w:t>
      </w:r>
    </w:p>
    <w:p w14:paraId="48BA5623" w14:textId="77777777" w:rsidR="00F51B94" w:rsidRDefault="00000000">
      <w:pPr>
        <w:spacing w:after="200"/>
      </w:pPr>
      <w:r>
        <w:t>MongoDB-style document stores offer flexibility but sacrifice relational integrity:</w:t>
      </w:r>
    </w:p>
    <w:p w14:paraId="2F876A09" w14:textId="77777777" w:rsidR="00F51B94" w:rsidRDefault="00000000">
      <w:pPr>
        <w:pStyle w:val="ListParagraph"/>
        <w:numPr>
          <w:ilvl w:val="0"/>
          <w:numId w:val="2"/>
        </w:numPr>
      </w:pPr>
      <w:r>
        <w:t>No native joins—denormalization required</w:t>
      </w:r>
    </w:p>
    <w:p w14:paraId="78FBB5A1" w14:textId="77777777" w:rsidR="00F51B94" w:rsidRDefault="00000000">
      <w:pPr>
        <w:pStyle w:val="ListParagraph"/>
        <w:numPr>
          <w:ilvl w:val="0"/>
          <w:numId w:val="2"/>
        </w:numPr>
      </w:pPr>
      <w:r>
        <w:t>Referential integrity must be enforced in application code</w:t>
      </w:r>
    </w:p>
    <w:p w14:paraId="6B73E3F0" w14:textId="77777777" w:rsidR="00F51B94" w:rsidRDefault="00000000">
      <w:pPr>
        <w:pStyle w:val="ListParagraph"/>
        <w:numPr>
          <w:ilvl w:val="0"/>
          <w:numId w:val="2"/>
        </w:numPr>
      </w:pPr>
      <w:r>
        <w:t>Eventual consistency complicates transaction logic</w:t>
      </w:r>
    </w:p>
    <w:p w14:paraId="57FC512B" w14:textId="77777777" w:rsidR="00F51B94" w:rsidRDefault="00000000">
      <w:pPr>
        <w:pStyle w:val="ListParagraph"/>
        <w:numPr>
          <w:ilvl w:val="0"/>
          <w:numId w:val="2"/>
        </w:numPr>
      </w:pPr>
      <w:r>
        <w:t>Aggregation pipelines become complex for relational queries</w:t>
      </w:r>
    </w:p>
    <w:p w14:paraId="05C2B684" w14:textId="77777777" w:rsidR="00F51B94" w:rsidRDefault="00000000">
      <w:pPr>
        <w:pStyle w:val="Heading2"/>
      </w:pPr>
      <w:r>
        <w:t>Entity-Attribute-Value (EAV)</w:t>
      </w:r>
    </w:p>
    <w:p w14:paraId="19E09BE7" w14:textId="77777777" w:rsidR="00F51B94" w:rsidRDefault="00000000">
      <w:pPr>
        <w:spacing w:after="200"/>
      </w:pPr>
      <w:r>
        <w:t>The EAV pattern is the closest conceptual match, but traditional implementations suffer from:</w:t>
      </w:r>
    </w:p>
    <w:p w14:paraId="58C9BE5D" w14:textId="77777777" w:rsidR="00F51B94" w:rsidRDefault="00000000">
      <w:pPr>
        <w:pStyle w:val="ListParagraph"/>
        <w:numPr>
          <w:ilvl w:val="0"/>
          <w:numId w:val="2"/>
        </w:numPr>
      </w:pPr>
      <w:r>
        <w:t>Generic VARCHAR storage for all values</w:t>
      </w:r>
    </w:p>
    <w:p w14:paraId="4E98E0A2" w14:textId="77777777" w:rsidR="00F51B94" w:rsidRDefault="00000000">
      <w:pPr>
        <w:pStyle w:val="ListParagraph"/>
        <w:numPr>
          <w:ilvl w:val="0"/>
          <w:numId w:val="2"/>
        </w:numPr>
      </w:pPr>
      <w:r>
        <w:t>Multiple joins to reconstruct entities</w:t>
      </w:r>
    </w:p>
    <w:p w14:paraId="59EE8170" w14:textId="77777777" w:rsidR="00F51B94" w:rsidRDefault="00000000">
      <w:pPr>
        <w:pStyle w:val="ListParagraph"/>
        <w:numPr>
          <w:ilvl w:val="0"/>
          <w:numId w:val="2"/>
        </w:numPr>
      </w:pPr>
      <w:r>
        <w:t xml:space="preserve">No </w:t>
      </w:r>
      <w:proofErr w:type="gramStart"/>
      <w:r>
        <w:t>type</w:t>
      </w:r>
      <w:proofErr w:type="gramEnd"/>
      <w:r>
        <w:t xml:space="preserve"> safety or database-level validation</w:t>
      </w:r>
    </w:p>
    <w:p w14:paraId="2DE896AE" w14:textId="77777777" w:rsidR="00F51B94" w:rsidRDefault="00000000">
      <w:pPr>
        <w:pStyle w:val="ListParagraph"/>
        <w:numPr>
          <w:ilvl w:val="0"/>
          <w:numId w:val="2"/>
        </w:numPr>
      </w:pPr>
      <w:r>
        <w:t>Query performance degrades rapidly</w:t>
      </w:r>
    </w:p>
    <w:p w14:paraId="4EE967C1" w14:textId="77777777" w:rsidR="00F51B94" w:rsidRDefault="00000000">
      <w:pPr>
        <w:spacing w:before="200" w:after="200"/>
      </w:pPr>
      <w:r>
        <w:t>The molecule system addresses each of these failures: typed storage, direct table access, database-enforced constraints, and self-describing routing.</w:t>
      </w:r>
    </w:p>
    <w:p w14:paraId="6B3E2915" w14:textId="77777777" w:rsidR="00F51B94" w:rsidRDefault="00000000">
      <w:pPr>
        <w:pStyle w:val="Heading2"/>
      </w:pPr>
      <w:r>
        <w:t>The Hybrid Insight</w:t>
      </w:r>
    </w:p>
    <w:p w14:paraId="4ABAFFE4" w14:textId="77777777" w:rsidR="00F51B94" w:rsidRDefault="00000000">
      <w:pPr>
        <w:spacing w:after="200"/>
      </w:pPr>
      <w:r>
        <w:t xml:space="preserve">Most flexible systems sacrifice performance. Most performant systems sacrifice flexibility. The molecule system achieves both through a key insight: </w:t>
      </w:r>
      <w:r>
        <w:rPr>
          <w:b/>
          <w:bCs/>
        </w:rPr>
        <w:t xml:space="preserve">molecules extend the relational </w:t>
      </w:r>
      <w:proofErr w:type="gramStart"/>
      <w:r>
        <w:rPr>
          <w:b/>
          <w:bCs/>
        </w:rPr>
        <w:t>model,</w:t>
      </w:r>
      <w:proofErr w:type="gramEnd"/>
      <w:r>
        <w:rPr>
          <w:b/>
          <w:bCs/>
        </w:rPr>
        <w:t xml:space="preserve"> they don't replace it</w:t>
      </w:r>
      <w:r>
        <w:t>.</w:t>
      </w:r>
    </w:p>
    <w:p w14:paraId="02F7B203" w14:textId="1B28025E" w:rsidR="00F51B94" w:rsidRDefault="00000000">
      <w:pPr>
        <w:spacing w:after="200"/>
      </w:pPr>
      <w:r>
        <w:t>Core entities (member, activity, bonus, promotion, tiers</w:t>
      </w:r>
      <w:r w:rsidR="0092106D">
        <w:t>, etc.</w:t>
      </w:r>
      <w:r>
        <w:t>) remain standard relational tables with proper foreign keys and constraints. Molecules add flexible attributes to these solid foundations. The result is a hybrid architecture that provides relational integrity where it matters and flexibility where it's needed.</w:t>
      </w:r>
    </w:p>
    <w:p w14:paraId="7374CAF1" w14:textId="77777777" w:rsidR="00F51B94" w:rsidRDefault="00000000">
      <w:pPr>
        <w:pStyle w:val="Heading1"/>
      </w:pPr>
      <w:r>
        <w:lastRenderedPageBreak/>
        <w:t>Industry-Specific Compounds</w:t>
      </w:r>
    </w:p>
    <w:p w14:paraId="629A860C" w14:textId="77777777" w:rsidR="00F51B94" w:rsidRDefault="00000000">
      <w:pPr>
        <w:spacing w:after="200"/>
      </w:pPr>
      <w:r>
        <w:t xml:space="preserve">A </w:t>
      </w:r>
      <w:r>
        <w:rPr>
          <w:b/>
          <w:bCs/>
        </w:rPr>
        <w:t>compound</w:t>
      </w:r>
      <w:r>
        <w:t xml:space="preserve"> is a collection of molecules that defines what an activity looks like for a specific industry. The compound is the activity's DNA—same platform, different DNA per industry.</w:t>
      </w:r>
    </w:p>
    <w:p w14:paraId="5D156CEC" w14:textId="77777777" w:rsidR="00F51B94" w:rsidRDefault="00000000">
      <w:pPr>
        <w:pStyle w:val="Heading2"/>
      </w:pPr>
      <w:r>
        <w:t>Airline Compound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2260"/>
        <w:gridCol w:w="3737"/>
      </w:tblGrid>
      <w:tr w:rsidR="00F51B94" w14:paraId="26D4311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1A008F86" w14:textId="77777777" w:rsidR="00F51B94" w:rsidRDefault="00000000">
            <w:pPr>
              <w:jc w:val="center"/>
            </w:pPr>
            <w:r>
              <w:rPr>
                <w:b/>
                <w:bCs/>
                <w:color w:val="FFFFFF"/>
              </w:rPr>
              <w:t>Molecule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228ECFD6" w14:textId="77777777" w:rsidR="00F51B94" w:rsidRDefault="00000000">
            <w:pPr>
              <w:jc w:val="center"/>
            </w:pPr>
            <w:r>
              <w:rPr>
                <w:b/>
                <w:bCs/>
                <w:color w:val="FFFFFF"/>
              </w:rPr>
              <w:t>Storage</w:t>
            </w:r>
          </w:p>
        </w:tc>
        <w:tc>
          <w:tcPr>
            <w:tcW w:w="3900" w:type="dxa"/>
            <w:tcBorders>
              <w:top w:val="single" w:sz="1" w:space="0" w:color="CCCCCC"/>
              <w:left w:val="single" w:sz="1" w:space="0" w:color="CCCCCC"/>
              <w:bottom w:val="single" w:sz="1" w:space="0" w:color="CCCCCC"/>
              <w:right w:val="single" w:sz="1" w:space="0" w:color="CCCCCC"/>
            </w:tcBorders>
            <w:shd w:val="clear" w:color="auto" w:fill="1A5276"/>
          </w:tcPr>
          <w:p w14:paraId="5BC81B82" w14:textId="77777777" w:rsidR="00F51B94" w:rsidRDefault="00000000">
            <w:pPr>
              <w:jc w:val="center"/>
            </w:pPr>
            <w:r>
              <w:rPr>
                <w:b/>
                <w:bCs/>
                <w:color w:val="FFFFFF"/>
              </w:rPr>
              <w:t>Source</w:t>
            </w:r>
          </w:p>
        </w:tc>
      </w:tr>
      <w:tr w:rsidR="00F51B94" w14:paraId="51FAF9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56C9B59" w14:textId="77777777" w:rsidR="00F51B94" w:rsidRDefault="00000000">
            <w:r>
              <w:t>carrier</w:t>
            </w:r>
          </w:p>
        </w:tc>
        <w:tc>
          <w:tcPr>
            <w:tcW w:w="2340" w:type="dxa"/>
            <w:tcBorders>
              <w:top w:val="single" w:sz="1" w:space="0" w:color="CCCCCC"/>
              <w:left w:val="single" w:sz="1" w:space="0" w:color="CCCCCC"/>
              <w:bottom w:val="single" w:sz="1" w:space="0" w:color="CCCCCC"/>
              <w:right w:val="single" w:sz="1" w:space="0" w:color="CCCCCC"/>
            </w:tcBorders>
          </w:tcPr>
          <w:p w14:paraId="22906433"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1860BB37" w14:textId="77777777" w:rsidR="00F51B94" w:rsidRDefault="00000000">
            <w:r>
              <w:t>External: IATA carrier codes</w:t>
            </w:r>
          </w:p>
        </w:tc>
      </w:tr>
      <w:tr w:rsidR="00F51B94" w14:paraId="7FF0FB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44D4E77" w14:textId="77777777" w:rsidR="00F51B94" w:rsidRDefault="00000000">
            <w:r>
              <w:t>origin</w:t>
            </w:r>
          </w:p>
        </w:tc>
        <w:tc>
          <w:tcPr>
            <w:tcW w:w="2340" w:type="dxa"/>
            <w:tcBorders>
              <w:top w:val="single" w:sz="1" w:space="0" w:color="CCCCCC"/>
              <w:left w:val="single" w:sz="1" w:space="0" w:color="CCCCCC"/>
              <w:bottom w:val="single" w:sz="1" w:space="0" w:color="CCCCCC"/>
              <w:right w:val="single" w:sz="1" w:space="0" w:color="CCCCCC"/>
            </w:tcBorders>
          </w:tcPr>
          <w:p w14:paraId="44C7F8C8"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469FEA6C" w14:textId="77777777" w:rsidR="00F51B94" w:rsidRDefault="00000000">
            <w:r>
              <w:t>External: FAA airport database</w:t>
            </w:r>
          </w:p>
        </w:tc>
      </w:tr>
      <w:tr w:rsidR="00F51B94" w14:paraId="08890D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AFE03B2" w14:textId="77777777" w:rsidR="00F51B94" w:rsidRDefault="00000000">
            <w:r>
              <w:t>destination</w:t>
            </w:r>
          </w:p>
        </w:tc>
        <w:tc>
          <w:tcPr>
            <w:tcW w:w="2340" w:type="dxa"/>
            <w:tcBorders>
              <w:top w:val="single" w:sz="1" w:space="0" w:color="CCCCCC"/>
              <w:left w:val="single" w:sz="1" w:space="0" w:color="CCCCCC"/>
              <w:bottom w:val="single" w:sz="1" w:space="0" w:color="CCCCCC"/>
              <w:right w:val="single" w:sz="1" w:space="0" w:color="CCCCCC"/>
            </w:tcBorders>
          </w:tcPr>
          <w:p w14:paraId="5DE0B7E0"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10FB0204" w14:textId="77777777" w:rsidR="00F51B94" w:rsidRDefault="00000000">
            <w:r>
              <w:t>External: FAA airport database</w:t>
            </w:r>
          </w:p>
        </w:tc>
      </w:tr>
      <w:tr w:rsidR="00F51B94" w14:paraId="334870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CDE5E7F" w14:textId="77777777" w:rsidR="00F51B94" w:rsidRDefault="00000000">
            <w:proofErr w:type="spellStart"/>
            <w:r>
              <w:t>flight_number</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49DBEDE7"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15428080" w14:textId="77777777" w:rsidR="00F51B94" w:rsidRDefault="00000000">
            <w:r>
              <w:t>Numeric code</w:t>
            </w:r>
          </w:p>
        </w:tc>
      </w:tr>
      <w:tr w:rsidR="00F51B94" w14:paraId="357A99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D05ACEB" w14:textId="77777777" w:rsidR="00F51B94" w:rsidRDefault="00000000">
            <w:proofErr w:type="spellStart"/>
            <w:r>
              <w:t>fare_class</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5DC7A363" w14:textId="77777777" w:rsidR="00F51B94" w:rsidRDefault="00000000">
            <w:r>
              <w:t>1 byte</w:t>
            </w:r>
          </w:p>
        </w:tc>
        <w:tc>
          <w:tcPr>
            <w:tcW w:w="3900" w:type="dxa"/>
            <w:tcBorders>
              <w:top w:val="single" w:sz="1" w:space="0" w:color="CCCCCC"/>
              <w:left w:val="single" w:sz="1" w:space="0" w:color="CCCCCC"/>
              <w:bottom w:val="single" w:sz="1" w:space="0" w:color="CCCCCC"/>
              <w:right w:val="single" w:sz="1" w:space="0" w:color="CCCCCC"/>
            </w:tcBorders>
          </w:tcPr>
          <w:p w14:paraId="4ED3FC15" w14:textId="77777777" w:rsidR="00F51B94" w:rsidRDefault="00000000">
            <w:r>
              <w:t>Internal list</w:t>
            </w:r>
          </w:p>
        </w:tc>
      </w:tr>
      <w:tr w:rsidR="00F51B94" w14:paraId="747E23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B6A5391" w14:textId="77777777" w:rsidR="00F51B94" w:rsidRDefault="00000000">
            <w:proofErr w:type="spellStart"/>
            <w:r>
              <w:t>aircraft_type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7914A735" w14:textId="77777777" w:rsidR="00F51B94" w:rsidRDefault="00000000">
            <w:r>
              <w:t>1 byte</w:t>
            </w:r>
          </w:p>
        </w:tc>
        <w:tc>
          <w:tcPr>
            <w:tcW w:w="3900" w:type="dxa"/>
            <w:tcBorders>
              <w:top w:val="single" w:sz="1" w:space="0" w:color="CCCCCC"/>
              <w:left w:val="single" w:sz="1" w:space="0" w:color="CCCCCC"/>
              <w:bottom w:val="single" w:sz="1" w:space="0" w:color="CCCCCC"/>
              <w:right w:val="single" w:sz="1" w:space="0" w:color="CCCCCC"/>
            </w:tcBorders>
          </w:tcPr>
          <w:p w14:paraId="285F8BAD" w14:textId="77777777" w:rsidR="00F51B94" w:rsidRDefault="00000000">
            <w:r>
              <w:t>Internal list</w:t>
            </w:r>
          </w:p>
        </w:tc>
      </w:tr>
    </w:tbl>
    <w:p w14:paraId="2619FE1A" w14:textId="77777777" w:rsidR="00F51B94" w:rsidRDefault="00000000">
      <w:pPr>
        <w:pStyle w:val="Heading2"/>
        <w:spacing w:before="300"/>
      </w:pPr>
      <w:r>
        <w:t>Hotel Compound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2254"/>
        <w:gridCol w:w="3750"/>
      </w:tblGrid>
      <w:tr w:rsidR="00F51B94" w14:paraId="674F7FF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4E35EE5B" w14:textId="77777777" w:rsidR="00F51B94" w:rsidRDefault="00000000">
            <w:pPr>
              <w:jc w:val="center"/>
            </w:pPr>
            <w:r>
              <w:rPr>
                <w:b/>
                <w:bCs/>
                <w:color w:val="FFFFFF"/>
              </w:rPr>
              <w:t>Molecule</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0605FAC5" w14:textId="77777777" w:rsidR="00F51B94" w:rsidRDefault="00000000">
            <w:pPr>
              <w:jc w:val="center"/>
            </w:pPr>
            <w:r>
              <w:rPr>
                <w:b/>
                <w:bCs/>
                <w:color w:val="FFFFFF"/>
              </w:rPr>
              <w:t>Storage</w:t>
            </w:r>
          </w:p>
        </w:tc>
        <w:tc>
          <w:tcPr>
            <w:tcW w:w="3900" w:type="dxa"/>
            <w:tcBorders>
              <w:top w:val="single" w:sz="1" w:space="0" w:color="CCCCCC"/>
              <w:left w:val="single" w:sz="1" w:space="0" w:color="CCCCCC"/>
              <w:bottom w:val="single" w:sz="1" w:space="0" w:color="CCCCCC"/>
              <w:right w:val="single" w:sz="1" w:space="0" w:color="CCCCCC"/>
            </w:tcBorders>
            <w:shd w:val="clear" w:color="auto" w:fill="1A5276"/>
          </w:tcPr>
          <w:p w14:paraId="2E7205A6" w14:textId="77777777" w:rsidR="00F51B94" w:rsidRDefault="00000000">
            <w:pPr>
              <w:jc w:val="center"/>
            </w:pPr>
            <w:r>
              <w:rPr>
                <w:b/>
                <w:bCs/>
                <w:color w:val="FFFFFF"/>
              </w:rPr>
              <w:t>Source</w:t>
            </w:r>
          </w:p>
        </w:tc>
      </w:tr>
      <w:tr w:rsidR="00F51B94" w14:paraId="0CC37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6FED8F61" w14:textId="77777777" w:rsidR="00F51B94" w:rsidRDefault="00000000">
            <w:r>
              <w:t>brand</w:t>
            </w:r>
          </w:p>
        </w:tc>
        <w:tc>
          <w:tcPr>
            <w:tcW w:w="2340" w:type="dxa"/>
            <w:tcBorders>
              <w:top w:val="single" w:sz="1" w:space="0" w:color="CCCCCC"/>
              <w:left w:val="single" w:sz="1" w:space="0" w:color="CCCCCC"/>
              <w:bottom w:val="single" w:sz="1" w:space="0" w:color="CCCCCC"/>
              <w:right w:val="single" w:sz="1" w:space="0" w:color="CCCCCC"/>
            </w:tcBorders>
          </w:tcPr>
          <w:p w14:paraId="07A27C38"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7F842D1B" w14:textId="77777777" w:rsidR="00F51B94" w:rsidRDefault="00000000">
            <w:r>
              <w:t>External: brand hierarchy table</w:t>
            </w:r>
          </w:p>
        </w:tc>
      </w:tr>
      <w:tr w:rsidR="00F51B94" w14:paraId="3143BE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0D00133" w14:textId="77777777" w:rsidR="00F51B94" w:rsidRDefault="00000000">
            <w:r>
              <w:t>property</w:t>
            </w:r>
          </w:p>
        </w:tc>
        <w:tc>
          <w:tcPr>
            <w:tcW w:w="2340" w:type="dxa"/>
            <w:tcBorders>
              <w:top w:val="single" w:sz="1" w:space="0" w:color="CCCCCC"/>
              <w:left w:val="single" w:sz="1" w:space="0" w:color="CCCCCC"/>
              <w:bottom w:val="single" w:sz="1" w:space="0" w:color="CCCCCC"/>
              <w:right w:val="single" w:sz="1" w:space="0" w:color="CCCCCC"/>
            </w:tcBorders>
          </w:tcPr>
          <w:p w14:paraId="06CAD7D9"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2EC75CE6" w14:textId="77777777" w:rsidR="00F51B94" w:rsidRDefault="00000000">
            <w:r>
              <w:t>External: property management system</w:t>
            </w:r>
          </w:p>
        </w:tc>
      </w:tr>
      <w:tr w:rsidR="00F51B94" w14:paraId="6EE58D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EFC3AE9" w14:textId="77777777" w:rsidR="00F51B94" w:rsidRDefault="00000000">
            <w:proofErr w:type="spellStart"/>
            <w:r>
              <w:t>room_type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7D6CAE18" w14:textId="77777777" w:rsidR="00F51B94" w:rsidRDefault="00000000">
            <w:r>
              <w:t>1 byte</w:t>
            </w:r>
          </w:p>
        </w:tc>
        <w:tc>
          <w:tcPr>
            <w:tcW w:w="3900" w:type="dxa"/>
            <w:tcBorders>
              <w:top w:val="single" w:sz="1" w:space="0" w:color="CCCCCC"/>
              <w:left w:val="single" w:sz="1" w:space="0" w:color="CCCCCC"/>
              <w:bottom w:val="single" w:sz="1" w:space="0" w:color="CCCCCC"/>
              <w:right w:val="single" w:sz="1" w:space="0" w:color="CCCCCC"/>
            </w:tcBorders>
          </w:tcPr>
          <w:p w14:paraId="4D5FCA6D" w14:textId="77777777" w:rsidR="00F51B94" w:rsidRDefault="00000000">
            <w:r>
              <w:t>Internal list</w:t>
            </w:r>
          </w:p>
        </w:tc>
      </w:tr>
      <w:tr w:rsidR="00F51B94" w14:paraId="7A17DE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7684E99" w14:textId="77777777" w:rsidR="00F51B94" w:rsidRDefault="00000000">
            <w:proofErr w:type="spellStart"/>
            <w:r>
              <w:t>revenue_type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779C43EE" w14:textId="77777777" w:rsidR="00F51B94" w:rsidRDefault="00000000">
            <w:r>
              <w:t>1 byte</w:t>
            </w:r>
          </w:p>
        </w:tc>
        <w:tc>
          <w:tcPr>
            <w:tcW w:w="3900" w:type="dxa"/>
            <w:tcBorders>
              <w:top w:val="single" w:sz="1" w:space="0" w:color="CCCCCC"/>
              <w:left w:val="single" w:sz="1" w:space="0" w:color="CCCCCC"/>
              <w:bottom w:val="single" w:sz="1" w:space="0" w:color="CCCCCC"/>
              <w:right w:val="single" w:sz="1" w:space="0" w:color="CCCCCC"/>
            </w:tcBorders>
          </w:tcPr>
          <w:p w14:paraId="40E70782" w14:textId="77777777" w:rsidR="00F51B94" w:rsidRDefault="00000000">
            <w:r>
              <w:t>Internal list</w:t>
            </w:r>
          </w:p>
        </w:tc>
      </w:tr>
      <w:tr w:rsidR="00F51B94" w14:paraId="79C69C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0BC80B2" w14:textId="77777777" w:rsidR="00F51B94" w:rsidRDefault="00000000">
            <w:proofErr w:type="spellStart"/>
            <w:r>
              <w:t>rate_code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5AA1EDA0"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1125FF7A" w14:textId="77777777" w:rsidR="00F51B94" w:rsidRDefault="00000000">
            <w:r>
              <w:t>Numeric code</w:t>
            </w:r>
          </w:p>
        </w:tc>
      </w:tr>
      <w:tr w:rsidR="00F51B94" w14:paraId="1D7168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37EED03" w14:textId="77777777" w:rsidR="00F51B94" w:rsidRDefault="00000000">
            <w:r>
              <w:t>nights</w:t>
            </w:r>
          </w:p>
        </w:tc>
        <w:tc>
          <w:tcPr>
            <w:tcW w:w="2340" w:type="dxa"/>
            <w:tcBorders>
              <w:top w:val="single" w:sz="1" w:space="0" w:color="CCCCCC"/>
              <w:left w:val="single" w:sz="1" w:space="0" w:color="CCCCCC"/>
              <w:bottom w:val="single" w:sz="1" w:space="0" w:color="CCCCCC"/>
              <w:right w:val="single" w:sz="1" w:space="0" w:color="CCCCCC"/>
            </w:tcBorders>
          </w:tcPr>
          <w:p w14:paraId="47577FDB" w14:textId="77777777" w:rsidR="00F51B94" w:rsidRDefault="00000000">
            <w:r>
              <w:t>2 bytes</w:t>
            </w:r>
          </w:p>
        </w:tc>
        <w:tc>
          <w:tcPr>
            <w:tcW w:w="3900" w:type="dxa"/>
            <w:tcBorders>
              <w:top w:val="single" w:sz="1" w:space="0" w:color="CCCCCC"/>
              <w:left w:val="single" w:sz="1" w:space="0" w:color="CCCCCC"/>
              <w:bottom w:val="single" w:sz="1" w:space="0" w:color="CCCCCC"/>
              <w:right w:val="single" w:sz="1" w:space="0" w:color="CCCCCC"/>
            </w:tcBorders>
          </w:tcPr>
          <w:p w14:paraId="02D0C064" w14:textId="77777777" w:rsidR="00F51B94" w:rsidRDefault="00000000">
            <w:r>
              <w:t>Numeric value</w:t>
            </w:r>
          </w:p>
        </w:tc>
      </w:tr>
    </w:tbl>
    <w:p w14:paraId="22D28F69" w14:textId="5DA3C657" w:rsidR="00F51B94" w:rsidRDefault="00000000">
      <w:pPr>
        <w:spacing w:before="200" w:after="200"/>
      </w:pPr>
      <w:r>
        <w:rPr>
          <w:b/>
          <w:bCs/>
        </w:rPr>
        <w:t>Same code, same tables, completely different business domains</w:t>
      </w:r>
      <w:r>
        <w:t>. Input templates render the compound. Display templates show it. Bonus</w:t>
      </w:r>
      <w:r w:rsidR="0092106D">
        <w:t xml:space="preserve"> and Promotion</w:t>
      </w:r>
      <w:r>
        <w:t xml:space="preserve"> rules evaluate against it. The platform adapts to the industry through configuration, not development.</w:t>
      </w:r>
    </w:p>
    <w:p w14:paraId="02D474AF" w14:textId="77777777" w:rsidR="00F51B94" w:rsidRDefault="00000000">
      <w:pPr>
        <w:pStyle w:val="Heading1"/>
      </w:pPr>
      <w:r>
        <w:t>Tenant-Specific Labeling</w:t>
      </w:r>
    </w:p>
    <w:p w14:paraId="2B8D0045" w14:textId="77777777" w:rsidR="00F51B94" w:rsidRDefault="00000000">
      <w:pPr>
        <w:spacing w:after="200"/>
      </w:pPr>
      <w:r>
        <w:t>Beyond data structure, the labeling system customizes every user-facing interaction. The same screens, reports, and messages adapt their terminology to each tenant's industry and brand.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3013"/>
        <w:gridCol w:w="3746"/>
      </w:tblGrid>
      <w:tr w:rsidR="00F51B94" w14:paraId="422FFF1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5276"/>
          </w:tcPr>
          <w:p w14:paraId="5B500E5D" w14:textId="77777777" w:rsidR="00F51B94" w:rsidRDefault="00000000">
            <w:pPr>
              <w:jc w:val="center"/>
            </w:pPr>
            <w:r>
              <w:rPr>
                <w:b/>
                <w:bCs/>
                <w:color w:val="FFFFFF"/>
              </w:rPr>
              <w:t>Industry</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Pr>
          <w:p w14:paraId="2943F894" w14:textId="77777777" w:rsidR="00F51B94" w:rsidRDefault="00000000">
            <w:pPr>
              <w:jc w:val="center"/>
            </w:pPr>
            <w:r>
              <w:rPr>
                <w:b/>
                <w:bCs/>
                <w:color w:val="FFFFFF"/>
              </w:rPr>
              <w:t>Activity Term</w:t>
            </w:r>
          </w:p>
        </w:tc>
        <w:tc>
          <w:tcPr>
            <w:tcW w:w="3900" w:type="dxa"/>
            <w:tcBorders>
              <w:top w:val="single" w:sz="1" w:space="0" w:color="CCCCCC"/>
              <w:left w:val="single" w:sz="1" w:space="0" w:color="CCCCCC"/>
              <w:bottom w:val="single" w:sz="1" w:space="0" w:color="CCCCCC"/>
              <w:right w:val="single" w:sz="1" w:space="0" w:color="CCCCCC"/>
            </w:tcBorders>
            <w:shd w:val="clear" w:color="auto" w:fill="1A5276"/>
          </w:tcPr>
          <w:p w14:paraId="2FA403BC" w14:textId="77777777" w:rsidR="00F51B94" w:rsidRDefault="00000000">
            <w:pPr>
              <w:jc w:val="center"/>
            </w:pPr>
            <w:r>
              <w:rPr>
                <w:b/>
                <w:bCs/>
                <w:color w:val="FFFFFF"/>
              </w:rPr>
              <w:t>Currency Term</w:t>
            </w:r>
          </w:p>
        </w:tc>
      </w:tr>
      <w:tr w:rsidR="00F51B94" w14:paraId="2143D2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659ED3F" w14:textId="77777777" w:rsidR="00F51B94" w:rsidRDefault="00000000">
            <w:r>
              <w:t>Airline</w:t>
            </w:r>
          </w:p>
        </w:tc>
        <w:tc>
          <w:tcPr>
            <w:tcW w:w="3120" w:type="dxa"/>
            <w:tcBorders>
              <w:top w:val="single" w:sz="1" w:space="0" w:color="CCCCCC"/>
              <w:left w:val="single" w:sz="1" w:space="0" w:color="CCCCCC"/>
              <w:bottom w:val="single" w:sz="1" w:space="0" w:color="CCCCCC"/>
              <w:right w:val="single" w:sz="1" w:space="0" w:color="CCCCCC"/>
            </w:tcBorders>
          </w:tcPr>
          <w:p w14:paraId="02EF6634" w14:textId="77777777" w:rsidR="00F51B94" w:rsidRDefault="00000000">
            <w:r>
              <w:t>Flights</w:t>
            </w:r>
          </w:p>
        </w:tc>
        <w:tc>
          <w:tcPr>
            <w:tcW w:w="3900" w:type="dxa"/>
            <w:tcBorders>
              <w:top w:val="single" w:sz="1" w:space="0" w:color="CCCCCC"/>
              <w:left w:val="single" w:sz="1" w:space="0" w:color="CCCCCC"/>
              <w:bottom w:val="single" w:sz="1" w:space="0" w:color="CCCCCC"/>
              <w:right w:val="single" w:sz="1" w:space="0" w:color="CCCCCC"/>
            </w:tcBorders>
          </w:tcPr>
          <w:p w14:paraId="353083FA" w14:textId="77777777" w:rsidR="00F51B94" w:rsidRDefault="00000000">
            <w:r>
              <w:t>Miles</w:t>
            </w:r>
          </w:p>
        </w:tc>
      </w:tr>
      <w:tr w:rsidR="00F51B94" w14:paraId="500DD8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1E7EBED" w14:textId="77777777" w:rsidR="00F51B94" w:rsidRDefault="00000000">
            <w:r>
              <w:t>Hotel</w:t>
            </w:r>
          </w:p>
        </w:tc>
        <w:tc>
          <w:tcPr>
            <w:tcW w:w="3120" w:type="dxa"/>
            <w:tcBorders>
              <w:top w:val="single" w:sz="1" w:space="0" w:color="CCCCCC"/>
              <w:left w:val="single" w:sz="1" w:space="0" w:color="CCCCCC"/>
              <w:bottom w:val="single" w:sz="1" w:space="0" w:color="CCCCCC"/>
              <w:right w:val="single" w:sz="1" w:space="0" w:color="CCCCCC"/>
            </w:tcBorders>
          </w:tcPr>
          <w:p w14:paraId="7952CB05" w14:textId="77777777" w:rsidR="00F51B94" w:rsidRDefault="00000000">
            <w:r>
              <w:t>Stays</w:t>
            </w:r>
          </w:p>
        </w:tc>
        <w:tc>
          <w:tcPr>
            <w:tcW w:w="3900" w:type="dxa"/>
            <w:tcBorders>
              <w:top w:val="single" w:sz="1" w:space="0" w:color="CCCCCC"/>
              <w:left w:val="single" w:sz="1" w:space="0" w:color="CCCCCC"/>
              <w:bottom w:val="single" w:sz="1" w:space="0" w:color="CCCCCC"/>
              <w:right w:val="single" w:sz="1" w:space="0" w:color="CCCCCC"/>
            </w:tcBorders>
          </w:tcPr>
          <w:p w14:paraId="78437C8B" w14:textId="77777777" w:rsidR="00F51B94" w:rsidRDefault="00000000">
            <w:r>
              <w:t>Points</w:t>
            </w:r>
          </w:p>
        </w:tc>
      </w:tr>
      <w:tr w:rsidR="00F51B94" w14:paraId="0DA3E9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E41527C" w14:textId="77777777" w:rsidR="00F51B94" w:rsidRDefault="00000000">
            <w:r>
              <w:t>Retail</w:t>
            </w:r>
          </w:p>
        </w:tc>
        <w:tc>
          <w:tcPr>
            <w:tcW w:w="3120" w:type="dxa"/>
            <w:tcBorders>
              <w:top w:val="single" w:sz="1" w:space="0" w:color="CCCCCC"/>
              <w:left w:val="single" w:sz="1" w:space="0" w:color="CCCCCC"/>
              <w:bottom w:val="single" w:sz="1" w:space="0" w:color="CCCCCC"/>
              <w:right w:val="single" w:sz="1" w:space="0" w:color="CCCCCC"/>
            </w:tcBorders>
          </w:tcPr>
          <w:p w14:paraId="6B0627E0" w14:textId="77777777" w:rsidR="00F51B94" w:rsidRDefault="00000000">
            <w:r>
              <w:t>Purchases</w:t>
            </w:r>
          </w:p>
        </w:tc>
        <w:tc>
          <w:tcPr>
            <w:tcW w:w="3900" w:type="dxa"/>
            <w:tcBorders>
              <w:top w:val="single" w:sz="1" w:space="0" w:color="CCCCCC"/>
              <w:left w:val="single" w:sz="1" w:space="0" w:color="CCCCCC"/>
              <w:bottom w:val="single" w:sz="1" w:space="0" w:color="CCCCCC"/>
              <w:right w:val="single" w:sz="1" w:space="0" w:color="CCCCCC"/>
            </w:tcBorders>
          </w:tcPr>
          <w:p w14:paraId="6634AB7E" w14:textId="77777777" w:rsidR="00F51B94" w:rsidRDefault="00000000">
            <w:r>
              <w:t>Rewards</w:t>
            </w:r>
          </w:p>
        </w:tc>
      </w:tr>
      <w:tr w:rsidR="00F51B94" w14:paraId="02D07A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42E71E0" w14:textId="77777777" w:rsidR="00F51B94" w:rsidRDefault="00000000">
            <w:r>
              <w:t>Fitness</w:t>
            </w:r>
          </w:p>
        </w:tc>
        <w:tc>
          <w:tcPr>
            <w:tcW w:w="3120" w:type="dxa"/>
            <w:tcBorders>
              <w:top w:val="single" w:sz="1" w:space="0" w:color="CCCCCC"/>
              <w:left w:val="single" w:sz="1" w:space="0" w:color="CCCCCC"/>
              <w:bottom w:val="single" w:sz="1" w:space="0" w:color="CCCCCC"/>
              <w:right w:val="single" w:sz="1" w:space="0" w:color="CCCCCC"/>
            </w:tcBorders>
          </w:tcPr>
          <w:p w14:paraId="64D38626" w14:textId="77777777" w:rsidR="00F51B94" w:rsidRDefault="00000000">
            <w:r>
              <w:t>Visits</w:t>
            </w:r>
          </w:p>
        </w:tc>
        <w:tc>
          <w:tcPr>
            <w:tcW w:w="3900" w:type="dxa"/>
            <w:tcBorders>
              <w:top w:val="single" w:sz="1" w:space="0" w:color="CCCCCC"/>
              <w:left w:val="single" w:sz="1" w:space="0" w:color="CCCCCC"/>
              <w:bottom w:val="single" w:sz="1" w:space="0" w:color="CCCCCC"/>
              <w:right w:val="single" w:sz="1" w:space="0" w:color="CCCCCC"/>
            </w:tcBorders>
          </w:tcPr>
          <w:p w14:paraId="21CE4F9A" w14:textId="77777777" w:rsidR="00F51B94" w:rsidRDefault="00000000">
            <w:r>
              <w:t>Credits</w:t>
            </w:r>
          </w:p>
        </w:tc>
      </w:tr>
    </w:tbl>
    <w:p w14:paraId="1300D264" w14:textId="77777777" w:rsidR="00F51B94" w:rsidRDefault="00000000">
      <w:pPr>
        <w:spacing w:before="200" w:after="200"/>
      </w:pPr>
      <w:r>
        <w:t xml:space="preserve">A single message template like "You've earned {points} from your recent {activity}" renders correctly for every tenant. Error messages, confirmation screens, reports, and email templates all adapt automatically. </w:t>
      </w:r>
      <w:r>
        <w:rPr>
          <w:b/>
          <w:bCs/>
        </w:rPr>
        <w:t>One codebase speaks every industry's language.</w:t>
      </w:r>
    </w:p>
    <w:p w14:paraId="21940F3D" w14:textId="77777777" w:rsidR="00F51B94" w:rsidRDefault="00000000">
      <w:pPr>
        <w:pStyle w:val="Heading1"/>
      </w:pPr>
      <w:r>
        <w:t>Internal and External Lookups</w:t>
      </w:r>
    </w:p>
    <w:p w14:paraId="48195786" w14:textId="77777777" w:rsidR="00F51B94" w:rsidRDefault="00000000">
      <w:pPr>
        <w:spacing w:after="200"/>
      </w:pPr>
      <w:r>
        <w:t>Molecules can reference both system-managed and external data sources:</w:t>
      </w:r>
    </w:p>
    <w:p w14:paraId="0F3F8AA5" w14:textId="77777777" w:rsidR="00F51B94" w:rsidRDefault="00000000">
      <w:pPr>
        <w:spacing w:after="120"/>
      </w:pPr>
      <w:r>
        <w:rPr>
          <w:b/>
          <w:bCs/>
        </w:rPr>
        <w:lastRenderedPageBreak/>
        <w:t>Internal Lists:</w:t>
      </w:r>
      <w:r>
        <w:t xml:space="preserve"> Defined within the molecule system itself. Fare classes, room types, revenue categories—tenant-specific values managed through admin interfaces.</w:t>
      </w:r>
    </w:p>
    <w:p w14:paraId="13B6A30D" w14:textId="77777777" w:rsidR="00F51B94" w:rsidRDefault="00000000">
      <w:pPr>
        <w:spacing w:after="200"/>
      </w:pPr>
      <w:r>
        <w:rPr>
          <w:b/>
          <w:bCs/>
        </w:rPr>
        <w:t>External Tables:</w:t>
      </w:r>
      <w:r>
        <w:t xml:space="preserve"> Existing reference tables from industry-standard sources or client systems. Airlines use FAA airport databases. Hotels point to existing property management tables. The molecule definition specifies table name and column—the system adapts to your data, not the other way around.</w:t>
      </w:r>
    </w:p>
    <w:p w14:paraId="6099EBA8" w14:textId="77777777" w:rsidR="00F51B94" w:rsidRDefault="00000000">
      <w:pPr>
        <w:pStyle w:val="Heading1"/>
      </w:pPr>
      <w:r>
        <w:t>Instant Extensibility</w:t>
      </w:r>
    </w:p>
    <w:p w14:paraId="0BF2863E" w14:textId="77777777" w:rsidR="00F51B94" w:rsidRDefault="00000000">
      <w:pPr>
        <w:spacing w:after="200"/>
      </w:pPr>
      <w:r>
        <w:t>When a new molecule is defined, it becomes immediately available everywhere in the system:</w:t>
      </w:r>
    </w:p>
    <w:p w14:paraId="12F2305B" w14:textId="77777777" w:rsidR="0092106D" w:rsidRDefault="00000000" w:rsidP="0092106D">
      <w:pPr>
        <w:pStyle w:val="ListParagraph"/>
        <w:numPr>
          <w:ilvl w:val="0"/>
          <w:numId w:val="2"/>
        </w:numPr>
      </w:pPr>
      <w:r>
        <w:t>Input templates can capture it</w:t>
      </w:r>
    </w:p>
    <w:p w14:paraId="59592F96" w14:textId="58198474" w:rsidR="0092106D" w:rsidRDefault="0092106D" w:rsidP="0092106D">
      <w:pPr>
        <w:pStyle w:val="ListParagraph"/>
        <w:numPr>
          <w:ilvl w:val="0"/>
          <w:numId w:val="2"/>
        </w:numPr>
      </w:pPr>
      <w:r>
        <w:t>Input API’s can capture it</w:t>
      </w:r>
    </w:p>
    <w:p w14:paraId="1F8FDCBC" w14:textId="0DD72D51" w:rsidR="00F51B94" w:rsidRDefault="00000000" w:rsidP="0092106D">
      <w:pPr>
        <w:pStyle w:val="ListParagraph"/>
        <w:numPr>
          <w:ilvl w:val="0"/>
          <w:numId w:val="2"/>
        </w:numPr>
      </w:pPr>
      <w:r>
        <w:t>Display templates can render it</w:t>
      </w:r>
    </w:p>
    <w:p w14:paraId="6D13C8A0" w14:textId="77777777" w:rsidR="00F51B94" w:rsidRDefault="00000000">
      <w:pPr>
        <w:pStyle w:val="ListParagraph"/>
        <w:numPr>
          <w:ilvl w:val="0"/>
          <w:numId w:val="2"/>
        </w:numPr>
      </w:pPr>
      <w:r>
        <w:t>APIs return it automatically</w:t>
      </w:r>
    </w:p>
    <w:p w14:paraId="2B048209" w14:textId="77777777" w:rsidR="00F51B94" w:rsidRDefault="00000000">
      <w:pPr>
        <w:pStyle w:val="ListParagraph"/>
        <w:numPr>
          <w:ilvl w:val="0"/>
          <w:numId w:val="2"/>
        </w:numPr>
      </w:pPr>
      <w:r>
        <w:t>Rules engine can evaluate against it</w:t>
      </w:r>
    </w:p>
    <w:p w14:paraId="66FD59ED" w14:textId="77777777" w:rsidR="00F51B94" w:rsidRDefault="00000000">
      <w:pPr>
        <w:spacing w:before="200" w:after="200"/>
      </w:pPr>
      <w:r>
        <w:rPr>
          <w:b/>
          <w:bCs/>
        </w:rPr>
        <w:t>No code changes. No deployment. No schema migrations.</w:t>
      </w:r>
      <w:r>
        <w:t xml:space="preserve"> A new business requirement becomes a new molecule row. This is true horizontal extensibility: the system grows by adding data, not code.</w:t>
      </w:r>
    </w:p>
    <w:p w14:paraId="206FBDF4" w14:textId="77777777" w:rsidR="00F51B94" w:rsidRDefault="00000000">
      <w:pPr>
        <w:pStyle w:val="Heading1"/>
      </w:pPr>
      <w:r>
        <w:t>Data Accessibility</w:t>
      </w:r>
    </w:p>
    <w:p w14:paraId="79D6FFD8" w14:textId="77777777" w:rsidR="00F51B94" w:rsidRDefault="00000000">
      <w:pPr>
        <w:spacing w:after="200"/>
      </w:pPr>
      <w:r>
        <w:t>A common concern with optimized storage: "Can other tools access the data?" The molecule system is not a data prison—it's an optimization layer with multiple access paths:</w:t>
      </w:r>
    </w:p>
    <w:p w14:paraId="4822093D" w14:textId="77777777" w:rsidR="00F51B94" w:rsidRDefault="00000000">
      <w:pPr>
        <w:pStyle w:val="Heading2"/>
      </w:pPr>
      <w:r>
        <w:t>Database Views</w:t>
      </w:r>
    </w:p>
    <w:p w14:paraId="5CC94818" w14:textId="77777777" w:rsidR="00F51B94" w:rsidRDefault="00000000">
      <w:pPr>
        <w:spacing w:after="200"/>
      </w:pPr>
      <w:r>
        <w:t>Views with embedded decode functions present molecule data as standard columns. BI tools, SQL clients, and reporting systems see familiar table structures. The optimization is hidden behind a clean interface.</w:t>
      </w:r>
    </w:p>
    <w:p w14:paraId="30DF9FE1" w14:textId="77777777" w:rsidR="00F51B94" w:rsidRDefault="00000000">
      <w:pPr>
        <w:pStyle w:val="Heading2"/>
      </w:pPr>
      <w:r>
        <w:t>Export to Normalized Format</w:t>
      </w:r>
    </w:p>
    <w:p w14:paraId="0E054871" w14:textId="77777777" w:rsidR="00F51B94" w:rsidRDefault="00000000">
      <w:pPr>
        <w:spacing w:after="200"/>
      </w:pPr>
      <w:r>
        <w:t>ETL processes can materialize molecule data into traditional tables for data warehousing. Operational storage stays compact; analytical storage can expand as needed.</w:t>
      </w:r>
    </w:p>
    <w:p w14:paraId="7BB8D863" w14:textId="77777777" w:rsidR="00F51B94" w:rsidRDefault="00000000">
      <w:pPr>
        <w:spacing w:after="200"/>
      </w:pPr>
      <w:r>
        <w:t xml:space="preserve">The core tables (member, activity, bonus) remain standard SQL with no decoding required. Molecules </w:t>
      </w:r>
      <w:r>
        <w:rPr>
          <w:i/>
          <w:iCs/>
        </w:rPr>
        <w:t>extend</w:t>
      </w:r>
      <w:r>
        <w:t xml:space="preserve"> the relational foundation—they don't replace it.</w:t>
      </w:r>
    </w:p>
    <w:p w14:paraId="7D5236C9" w14:textId="77777777" w:rsidR="00F51B94" w:rsidRDefault="00000000">
      <w:pPr>
        <w:pStyle w:val="Heading1"/>
      </w:pPr>
      <w:r>
        <w:t>Temporal-Native Architecture</w:t>
      </w:r>
    </w:p>
    <w:p w14:paraId="560CC1B7" w14:textId="77777777" w:rsidR="00F51B94" w:rsidRDefault="00000000">
      <w:pPr>
        <w:spacing w:after="200"/>
      </w:pPr>
      <w:r>
        <w:t>Most systems bolt on history tracking as an afterthought. The molecule system was designed with time as a primary dimension from day one:</w:t>
      </w:r>
    </w:p>
    <w:p w14:paraId="42707DB2" w14:textId="77777777" w:rsidR="00F51B94" w:rsidRDefault="00000000">
      <w:pPr>
        <w:pStyle w:val="ListParagraph"/>
        <w:numPr>
          <w:ilvl w:val="0"/>
          <w:numId w:val="2"/>
        </w:numPr>
      </w:pPr>
      <w:r>
        <w:t>Point balances derived from transaction history, never stored</w:t>
      </w:r>
    </w:p>
    <w:p w14:paraId="7092E4F0" w14:textId="77777777" w:rsidR="00F51B94" w:rsidRDefault="00000000">
      <w:pPr>
        <w:pStyle w:val="ListParagraph"/>
        <w:numPr>
          <w:ilvl w:val="0"/>
          <w:numId w:val="2"/>
        </w:numPr>
      </w:pPr>
      <w:r>
        <w:t>Retro-credit processing works automatically</w:t>
      </w:r>
    </w:p>
    <w:p w14:paraId="4E65ABC5" w14:textId="77777777" w:rsidR="00F51B94" w:rsidRDefault="00000000">
      <w:pPr>
        <w:pStyle w:val="ListParagraph"/>
        <w:numPr>
          <w:ilvl w:val="0"/>
          <w:numId w:val="2"/>
        </w:numPr>
      </w:pPr>
      <w:r>
        <w:t>Time-travel queries ("What was this member's tier on March 15th?") are trivial</w:t>
      </w:r>
    </w:p>
    <w:p w14:paraId="2D7B83A7" w14:textId="77777777" w:rsidR="00F51B94" w:rsidRDefault="00000000">
      <w:pPr>
        <w:pStyle w:val="ListParagraph"/>
        <w:numPr>
          <w:ilvl w:val="0"/>
          <w:numId w:val="2"/>
        </w:numPr>
      </w:pPr>
      <w:r>
        <w:t>Date compression enables efficient historical storage</w:t>
      </w:r>
    </w:p>
    <w:p w14:paraId="76766466" w14:textId="77777777" w:rsidR="00F51B94" w:rsidRDefault="00000000">
      <w:pPr>
        <w:pStyle w:val="ListParagraph"/>
        <w:numPr>
          <w:ilvl w:val="0"/>
          <w:numId w:val="2"/>
        </w:numPr>
      </w:pPr>
      <w:r>
        <w:lastRenderedPageBreak/>
        <w:t>Audit trails are complete by design, not by accident</w:t>
      </w:r>
    </w:p>
    <w:p w14:paraId="36F688E1" w14:textId="77777777" w:rsidR="00F51B94" w:rsidRDefault="00000000">
      <w:pPr>
        <w:pStyle w:val="Heading1"/>
      </w:pPr>
      <w:r>
        <w:t>"Storage Is Cheap" Is a Myth</w:t>
      </w:r>
    </w:p>
    <w:p w14:paraId="2AEDE1E7" w14:textId="77777777" w:rsidR="00F51B94" w:rsidRDefault="00000000">
      <w:pPr>
        <w:spacing w:after="200"/>
      </w:pPr>
      <w:r>
        <w:t xml:space="preserve">Common pushback: "Just use BIGINT everywhere—disk is cheap." This misunderstands where performance </w:t>
      </w:r>
      <w:proofErr w:type="gramStart"/>
      <w:r>
        <w:t>actually comes</w:t>
      </w:r>
      <w:proofErr w:type="gramEnd"/>
      <w:r>
        <w:t xml:space="preserve"> from.</w:t>
      </w:r>
    </w:p>
    <w:p w14:paraId="03001D4F" w14:textId="77777777" w:rsidR="00F51B94" w:rsidRDefault="00000000">
      <w:pPr>
        <w:spacing w:after="200"/>
      </w:pPr>
      <w:r>
        <w:t>CPU cache lines are still 64 bytes—they haven't grown with disk capacity. Memory bandwidth is the bottleneck, not CPU speed. Smaller data means:</w:t>
      </w:r>
    </w:p>
    <w:p w14:paraId="367110A1" w14:textId="77777777" w:rsidR="00F51B94" w:rsidRDefault="00000000">
      <w:pPr>
        <w:pStyle w:val="ListParagraph"/>
        <w:numPr>
          <w:ilvl w:val="0"/>
          <w:numId w:val="2"/>
        </w:numPr>
      </w:pPr>
      <w:r>
        <w:t>More records fit in cache → fewer cache misses</w:t>
      </w:r>
    </w:p>
    <w:p w14:paraId="2A97BB6C" w14:textId="77777777" w:rsidR="00F51B94" w:rsidRDefault="00000000">
      <w:pPr>
        <w:pStyle w:val="ListParagraph"/>
        <w:numPr>
          <w:ilvl w:val="0"/>
          <w:numId w:val="2"/>
        </w:numPr>
      </w:pPr>
      <w:r>
        <w:t>Smaller indexes → more fits in RAM → fewer disk reads</w:t>
      </w:r>
    </w:p>
    <w:p w14:paraId="19FDDAEE" w14:textId="77777777" w:rsidR="00F51B94" w:rsidRDefault="00000000">
      <w:pPr>
        <w:pStyle w:val="ListParagraph"/>
        <w:numPr>
          <w:ilvl w:val="0"/>
          <w:numId w:val="2"/>
        </w:numPr>
      </w:pPr>
      <w:r>
        <w:t>Reduced I/O → faster queries</w:t>
      </w:r>
    </w:p>
    <w:p w14:paraId="3AC494E2" w14:textId="77777777" w:rsidR="00F51B94" w:rsidRDefault="00000000">
      <w:pPr>
        <w:pStyle w:val="ListParagraph"/>
        <w:numPr>
          <w:ilvl w:val="0"/>
          <w:numId w:val="2"/>
        </w:numPr>
      </w:pPr>
      <w:r>
        <w:t>Benefits compound across every join, every index, every query</w:t>
      </w:r>
    </w:p>
    <w:p w14:paraId="22907353" w14:textId="77777777" w:rsidR="00F51B94" w:rsidRDefault="00000000">
      <w:pPr>
        <w:spacing w:before="200" w:after="200"/>
      </w:pPr>
      <w:r>
        <w:t xml:space="preserve">Consider: 2 bytes vs 8 bytes × 50 columns × 100 million rows = </w:t>
      </w:r>
      <w:r>
        <w:rPr>
          <w:b/>
          <w:bCs/>
        </w:rPr>
        <w:t>3 GB saved</w:t>
      </w:r>
      <w:r>
        <w:t>. That 3 GB is often the difference between "fits in memory" and "hits disk."</w:t>
      </w:r>
    </w:p>
    <w:p w14:paraId="1AA50D19" w14:textId="77777777" w:rsidR="00F51B94" w:rsidRDefault="00000000">
      <w:pPr>
        <w:pStyle w:val="Heading1"/>
      </w:pPr>
      <w:r>
        <w:t>Performance Validation</w:t>
      </w:r>
    </w:p>
    <w:p w14:paraId="48F438AC" w14:textId="77777777" w:rsidR="00F51B94" w:rsidRDefault="00000000">
      <w:pPr>
        <w:spacing w:after="200"/>
      </w:pPr>
      <w:r>
        <w:t>These aren't theoretical benefits. Benchmark testing on standard development hardware achieved:</w:t>
      </w:r>
    </w:p>
    <w:p w14:paraId="5C2EE7FD" w14:textId="77777777" w:rsidR="00F51B94" w:rsidRDefault="00000000">
      <w:pPr>
        <w:pStyle w:val="ListParagraph"/>
        <w:numPr>
          <w:ilvl w:val="0"/>
          <w:numId w:val="2"/>
        </w:numPr>
      </w:pPr>
      <w:r>
        <w:rPr>
          <w:b/>
          <w:bCs/>
        </w:rPr>
        <w:t>1,056 accruals per second</w:t>
      </w:r>
      <w:r>
        <w:t xml:space="preserve"> sustained rate (accruals are the most expensive API operation)</w:t>
      </w:r>
    </w:p>
    <w:p w14:paraId="0E86B605" w14:textId="77777777" w:rsidR="00F51B94" w:rsidRDefault="00000000">
      <w:pPr>
        <w:pStyle w:val="ListParagraph"/>
        <w:numPr>
          <w:ilvl w:val="0"/>
          <w:numId w:val="2"/>
        </w:numPr>
      </w:pPr>
      <w:r>
        <w:rPr>
          <w:b/>
          <w:bCs/>
        </w:rPr>
        <w:t>4+ million activities per hour</w:t>
      </w:r>
      <w:r>
        <w:t xml:space="preserve"> processed</w:t>
      </w:r>
    </w:p>
    <w:p w14:paraId="6101A0E0" w14:textId="77777777" w:rsidR="00F51B94" w:rsidRDefault="00000000">
      <w:pPr>
        <w:pStyle w:val="ListParagraph"/>
        <w:numPr>
          <w:ilvl w:val="0"/>
          <w:numId w:val="2"/>
        </w:numPr>
      </w:pPr>
      <w:r>
        <w:rPr>
          <w:b/>
          <w:bCs/>
        </w:rPr>
        <w:t>5,000+ API calls per second</w:t>
      </w:r>
      <w:r>
        <w:t xml:space="preserve"> projected for production workload mix</w:t>
      </w:r>
    </w:p>
    <w:p w14:paraId="1685A105" w14:textId="77777777" w:rsidR="00F51B94" w:rsidRDefault="00000000">
      <w:pPr>
        <w:spacing w:before="200" w:after="200"/>
      </w:pPr>
      <w:r>
        <w:t>This was achieved on a laptop—not a production server cluster. Right-sizing isn't premature optimization. It's architectural discipline that delivers measurable results.</w:t>
      </w:r>
    </w:p>
    <w:p w14:paraId="1F7F0905" w14:textId="77777777" w:rsidR="00F51B94" w:rsidRDefault="00000000">
      <w:pPr>
        <w:pStyle w:val="Heading1"/>
      </w:pPr>
      <w:r>
        <w:t>Conclusion</w:t>
      </w:r>
    </w:p>
    <w:p w14:paraId="6789D43D" w14:textId="77777777" w:rsidR="00F51B94" w:rsidRDefault="00000000">
      <w:pPr>
        <w:spacing w:after="200"/>
      </w:pPr>
      <w:r>
        <w:t>The molecule system represents a synthesis of lessons learned from decades of data architecture:</w:t>
      </w:r>
    </w:p>
    <w:p w14:paraId="2DA016AE" w14:textId="77777777" w:rsidR="00F51B94" w:rsidRDefault="00000000">
      <w:pPr>
        <w:pStyle w:val="ListParagraph"/>
        <w:numPr>
          <w:ilvl w:val="0"/>
          <w:numId w:val="2"/>
        </w:numPr>
      </w:pPr>
      <w:r>
        <w:t>Flexibility of schema-less designs</w:t>
      </w:r>
    </w:p>
    <w:p w14:paraId="7192E7FA" w14:textId="77777777" w:rsidR="00F51B94" w:rsidRDefault="00000000">
      <w:pPr>
        <w:pStyle w:val="ListParagraph"/>
        <w:numPr>
          <w:ilvl w:val="0"/>
          <w:numId w:val="2"/>
        </w:numPr>
      </w:pPr>
      <w:r>
        <w:t xml:space="preserve">Performance of </w:t>
      </w:r>
      <w:proofErr w:type="gramStart"/>
      <w:r>
        <w:t>tightly-typed</w:t>
      </w:r>
      <w:proofErr w:type="gramEnd"/>
      <w:r>
        <w:t xml:space="preserve"> storage</w:t>
      </w:r>
    </w:p>
    <w:p w14:paraId="2BDA48B3" w14:textId="77777777" w:rsidR="00F51B94" w:rsidRDefault="00000000">
      <w:pPr>
        <w:pStyle w:val="ListParagraph"/>
        <w:numPr>
          <w:ilvl w:val="0"/>
          <w:numId w:val="2"/>
        </w:numPr>
      </w:pPr>
      <w:r>
        <w:t>Integrity of relational foundations</w:t>
      </w:r>
    </w:p>
    <w:p w14:paraId="7023BDA3" w14:textId="77777777" w:rsidR="00F51B94" w:rsidRDefault="00000000">
      <w:pPr>
        <w:pStyle w:val="ListParagraph"/>
        <w:numPr>
          <w:ilvl w:val="0"/>
          <w:numId w:val="2"/>
        </w:numPr>
      </w:pPr>
      <w:r>
        <w:t>Accessibility of standard SQL</w:t>
      </w:r>
    </w:p>
    <w:p w14:paraId="262F026A" w14:textId="77777777" w:rsidR="00F51B94" w:rsidRDefault="00000000">
      <w:pPr>
        <w:spacing w:before="200" w:after="200"/>
      </w:pPr>
      <w:r>
        <w:t>Where EAV patterns fail from performance degradation, JSON columns fail from type safety, and wide tables fail from rigidity—the molecule system succeeds by being opinionated about storage while flexible about structure.</w:t>
      </w:r>
    </w:p>
    <w:p w14:paraId="747C5B12" w14:textId="77777777" w:rsidR="00F51B94" w:rsidRDefault="00000000">
      <w:pPr>
        <w:spacing w:after="200"/>
      </w:pPr>
      <w:r>
        <w:t>The result is a platform that serves airlines, hotels, retailers, and virtually any industry from a single codebase. Business rules change through configuration. New requirements become new molecules. And performance scales with the architecture, not against it.</w:t>
      </w:r>
    </w:p>
    <w:sectPr w:rsidR="00F51B9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EC122" w14:textId="77777777" w:rsidR="005272F6" w:rsidRDefault="005272F6">
      <w:r>
        <w:separator/>
      </w:r>
    </w:p>
  </w:endnote>
  <w:endnote w:type="continuationSeparator" w:id="0">
    <w:p w14:paraId="75613917" w14:textId="77777777" w:rsidR="005272F6" w:rsidRDefault="00527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1F31" w14:textId="77777777" w:rsidR="00F51B9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2106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2106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1B71" w14:textId="77777777" w:rsidR="005272F6" w:rsidRDefault="005272F6">
      <w:r>
        <w:separator/>
      </w:r>
    </w:p>
  </w:footnote>
  <w:footnote w:type="continuationSeparator" w:id="0">
    <w:p w14:paraId="00B58BC0" w14:textId="77777777" w:rsidR="005272F6" w:rsidRDefault="00527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C21A" w14:textId="77777777" w:rsidR="00F51B94" w:rsidRDefault="00000000">
    <w:pPr>
      <w:jc w:val="right"/>
    </w:pPr>
    <w:r>
      <w:rPr>
        <w:i/>
        <w:iCs/>
        <w:color w:val="666666"/>
        <w:sz w:val="20"/>
        <w:szCs w:val="20"/>
      </w:rPr>
      <w:t>Molecule System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21226"/>
    <w:multiLevelType w:val="hybridMultilevel"/>
    <w:tmpl w:val="E3304DEC"/>
    <w:lvl w:ilvl="0" w:tplc="F01E60DA">
      <w:start w:val="1"/>
      <w:numFmt w:val="decimal"/>
      <w:lvlText w:val="%1."/>
      <w:lvlJc w:val="left"/>
      <w:pPr>
        <w:ind w:left="720" w:hanging="360"/>
      </w:pPr>
    </w:lvl>
    <w:lvl w:ilvl="1" w:tplc="17DA5626">
      <w:numFmt w:val="decimal"/>
      <w:lvlText w:val=""/>
      <w:lvlJc w:val="left"/>
    </w:lvl>
    <w:lvl w:ilvl="2" w:tplc="5DD89046">
      <w:numFmt w:val="decimal"/>
      <w:lvlText w:val=""/>
      <w:lvlJc w:val="left"/>
    </w:lvl>
    <w:lvl w:ilvl="3" w:tplc="5798B606">
      <w:numFmt w:val="decimal"/>
      <w:lvlText w:val=""/>
      <w:lvlJc w:val="left"/>
    </w:lvl>
    <w:lvl w:ilvl="4" w:tplc="72AA789E">
      <w:numFmt w:val="decimal"/>
      <w:lvlText w:val=""/>
      <w:lvlJc w:val="left"/>
    </w:lvl>
    <w:lvl w:ilvl="5" w:tplc="D95090BC">
      <w:numFmt w:val="decimal"/>
      <w:lvlText w:val=""/>
      <w:lvlJc w:val="left"/>
    </w:lvl>
    <w:lvl w:ilvl="6" w:tplc="EEE8F6D2">
      <w:numFmt w:val="decimal"/>
      <w:lvlText w:val=""/>
      <w:lvlJc w:val="left"/>
    </w:lvl>
    <w:lvl w:ilvl="7" w:tplc="7FD48E64">
      <w:numFmt w:val="decimal"/>
      <w:lvlText w:val=""/>
      <w:lvlJc w:val="left"/>
    </w:lvl>
    <w:lvl w:ilvl="8" w:tplc="2AAC94D2">
      <w:numFmt w:val="decimal"/>
      <w:lvlText w:val=""/>
      <w:lvlJc w:val="left"/>
    </w:lvl>
  </w:abstractNum>
  <w:abstractNum w:abstractNumId="1" w15:restartNumberingAfterBreak="0">
    <w:nsid w:val="529D1AC4"/>
    <w:multiLevelType w:val="hybridMultilevel"/>
    <w:tmpl w:val="046604EA"/>
    <w:lvl w:ilvl="0" w:tplc="DD5E1432">
      <w:start w:val="1"/>
      <w:numFmt w:val="bullet"/>
      <w:lvlText w:val="•"/>
      <w:lvlJc w:val="left"/>
      <w:pPr>
        <w:ind w:left="720" w:hanging="360"/>
      </w:pPr>
    </w:lvl>
    <w:lvl w:ilvl="1" w:tplc="43A4407C">
      <w:numFmt w:val="decimal"/>
      <w:lvlText w:val=""/>
      <w:lvlJc w:val="left"/>
    </w:lvl>
    <w:lvl w:ilvl="2" w:tplc="44444EAA">
      <w:numFmt w:val="decimal"/>
      <w:lvlText w:val=""/>
      <w:lvlJc w:val="left"/>
    </w:lvl>
    <w:lvl w:ilvl="3" w:tplc="3B220128">
      <w:numFmt w:val="decimal"/>
      <w:lvlText w:val=""/>
      <w:lvlJc w:val="left"/>
    </w:lvl>
    <w:lvl w:ilvl="4" w:tplc="A6F0CA8A">
      <w:numFmt w:val="decimal"/>
      <w:lvlText w:val=""/>
      <w:lvlJc w:val="left"/>
    </w:lvl>
    <w:lvl w:ilvl="5" w:tplc="BC6E7AE4">
      <w:numFmt w:val="decimal"/>
      <w:lvlText w:val=""/>
      <w:lvlJc w:val="left"/>
    </w:lvl>
    <w:lvl w:ilvl="6" w:tplc="1A3CD2D4">
      <w:numFmt w:val="decimal"/>
      <w:lvlText w:val=""/>
      <w:lvlJc w:val="left"/>
    </w:lvl>
    <w:lvl w:ilvl="7" w:tplc="C3008676">
      <w:numFmt w:val="decimal"/>
      <w:lvlText w:val=""/>
      <w:lvlJc w:val="left"/>
    </w:lvl>
    <w:lvl w:ilvl="8" w:tplc="BCCC5266">
      <w:numFmt w:val="decimal"/>
      <w:lvlText w:val=""/>
      <w:lvlJc w:val="left"/>
    </w:lvl>
  </w:abstractNum>
  <w:abstractNum w:abstractNumId="2" w15:restartNumberingAfterBreak="0">
    <w:nsid w:val="7D1C77BB"/>
    <w:multiLevelType w:val="hybridMultilevel"/>
    <w:tmpl w:val="0FA8F894"/>
    <w:lvl w:ilvl="0" w:tplc="F03856FE">
      <w:start w:val="1"/>
      <w:numFmt w:val="bullet"/>
      <w:lvlText w:val="●"/>
      <w:lvlJc w:val="left"/>
      <w:pPr>
        <w:ind w:left="720" w:hanging="360"/>
      </w:pPr>
    </w:lvl>
    <w:lvl w:ilvl="1" w:tplc="B0B48F82">
      <w:start w:val="1"/>
      <w:numFmt w:val="bullet"/>
      <w:lvlText w:val="○"/>
      <w:lvlJc w:val="left"/>
      <w:pPr>
        <w:ind w:left="1440" w:hanging="360"/>
      </w:pPr>
    </w:lvl>
    <w:lvl w:ilvl="2" w:tplc="E15AE642">
      <w:start w:val="1"/>
      <w:numFmt w:val="bullet"/>
      <w:lvlText w:val="■"/>
      <w:lvlJc w:val="left"/>
      <w:pPr>
        <w:ind w:left="2160" w:hanging="360"/>
      </w:pPr>
    </w:lvl>
    <w:lvl w:ilvl="3" w:tplc="F0D817BA">
      <w:start w:val="1"/>
      <w:numFmt w:val="bullet"/>
      <w:lvlText w:val="●"/>
      <w:lvlJc w:val="left"/>
      <w:pPr>
        <w:ind w:left="2880" w:hanging="360"/>
      </w:pPr>
    </w:lvl>
    <w:lvl w:ilvl="4" w:tplc="8962D5E4">
      <w:start w:val="1"/>
      <w:numFmt w:val="bullet"/>
      <w:lvlText w:val="○"/>
      <w:lvlJc w:val="left"/>
      <w:pPr>
        <w:ind w:left="3600" w:hanging="360"/>
      </w:pPr>
    </w:lvl>
    <w:lvl w:ilvl="5" w:tplc="4D66DBC0">
      <w:start w:val="1"/>
      <w:numFmt w:val="bullet"/>
      <w:lvlText w:val="■"/>
      <w:lvlJc w:val="left"/>
      <w:pPr>
        <w:ind w:left="4320" w:hanging="360"/>
      </w:pPr>
    </w:lvl>
    <w:lvl w:ilvl="6" w:tplc="E3666038">
      <w:start w:val="1"/>
      <w:numFmt w:val="bullet"/>
      <w:lvlText w:val="●"/>
      <w:lvlJc w:val="left"/>
      <w:pPr>
        <w:ind w:left="5040" w:hanging="360"/>
      </w:pPr>
    </w:lvl>
    <w:lvl w:ilvl="7" w:tplc="D44602B6">
      <w:start w:val="1"/>
      <w:numFmt w:val="bullet"/>
      <w:lvlText w:val="●"/>
      <w:lvlJc w:val="left"/>
      <w:pPr>
        <w:ind w:left="5760" w:hanging="360"/>
      </w:pPr>
    </w:lvl>
    <w:lvl w:ilvl="8" w:tplc="57027D82">
      <w:start w:val="1"/>
      <w:numFmt w:val="bullet"/>
      <w:lvlText w:val="●"/>
      <w:lvlJc w:val="left"/>
      <w:pPr>
        <w:ind w:left="6480" w:hanging="360"/>
      </w:pPr>
    </w:lvl>
  </w:abstractNum>
  <w:num w:numId="1" w16cid:durableId="1304964046">
    <w:abstractNumId w:val="2"/>
    <w:lvlOverride w:ilvl="0">
      <w:startOverride w:val="1"/>
    </w:lvlOverride>
  </w:num>
  <w:num w:numId="2" w16cid:durableId="1318267946">
    <w:abstractNumId w:val="1"/>
    <w:lvlOverride w:ilvl="0">
      <w:startOverride w:val="1"/>
    </w:lvlOverride>
  </w:num>
  <w:num w:numId="3" w16cid:durableId="226109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B94"/>
    <w:rsid w:val="005272F6"/>
    <w:rsid w:val="0092106D"/>
    <w:rsid w:val="00CD4403"/>
    <w:rsid w:val="00F51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47E2B"/>
  <w15:docId w15:val="{4EB939D3-6330-4844-B897-4F57A24D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2"/>
      <w:szCs w:val="32"/>
    </w:rPr>
  </w:style>
  <w:style w:type="paragraph" w:styleId="Heading2">
    <w:name w:val="heading 2"/>
    <w:uiPriority w:val="9"/>
    <w:unhideWhenUsed/>
    <w:qFormat/>
    <w:pPr>
      <w:spacing w:before="240" w:after="120"/>
      <w:outlineLvl w:val="1"/>
    </w:pPr>
    <w:rPr>
      <w:b/>
      <w:bCs/>
      <w:color w:val="2874A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1914</Words>
  <Characters>10912</Characters>
  <Application>Microsoft Office Word</Application>
  <DocSecurity>0</DocSecurity>
  <Lines>90</Lines>
  <Paragraphs>25</Paragraphs>
  <ScaleCrop>false</ScaleCrop>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 Jansen</cp:lastModifiedBy>
  <cp:revision>2</cp:revision>
  <dcterms:created xsi:type="dcterms:W3CDTF">2025-12-11T16:16:00Z</dcterms:created>
  <dcterms:modified xsi:type="dcterms:W3CDTF">2025-12-11T16:24:00Z</dcterms:modified>
</cp:coreProperties>
</file>