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New Loyalty Platform</w:t>
      </w:r>
    </w:p>
    <w:p>
      <w:pPr>
        <w:spacing w:after="400"/>
        <w:jc w:val="center"/>
      </w:pPr>
      <w:r>
        <w:rPr>
          <w:color w:val="4a5568"/>
          <w:sz w:val="28"/>
          <w:szCs w:val="28"/>
        </w:rPr>
        <w:t xml:space="preserve">A Data-Driven Architecture for Industry-Agnostic Loyalty Systems</w:t>
      </w:r>
    </w:p>
    <w:p>
      <w:pPr>
        <w:spacing w:after="600"/>
        <w:jc w:val="center"/>
      </w:pPr>
      <w:r>
        <w:rPr>
          <w:b/>
          <w:bCs/>
          <w:sz w:val="24"/>
          <w:szCs w:val="24"/>
        </w:rPr>
        <w:t xml:space="preserve">Technical Overview for Engineering Leadership</w:t>
      </w:r>
    </w:p>
    <w:p>
      <w:pPr>
        <w:pStyle w:val="Heading1"/>
      </w:pPr>
      <w:r>
        <w:t xml:space="preserve">Executive Summary</w:t>
      </w:r>
    </w:p>
    <w:p>
      <w:pPr>
        <w:spacing w:after="200"/>
      </w:pPr>
      <w:r>
        <w:t xml:space="preserve">New Loyalty Platform represents a fundamental rethinking of how loyalty systems store, process, and adapt to business requirements. At its core is the </w:t>
      </w:r>
      <w:r>
        <w:rPr>
          <w:b/>
          <w:bCs/>
        </w:rPr>
        <w:t xml:space="preserve">Molecule System</w:t>
      </w:r>
      <w:r>
        <w:t xml:space="preserve">—a data abstraction layer that enables the same codebase to serve airlines, hotels, retail, and any future industry without code modifications.</w:t>
      </w:r>
    </w:p>
    <w:p>
      <w:pPr>
        <w:spacing w:after="200"/>
      </w:pPr>
      <w:r>
        <w:t xml:space="preserve">The platform achieves this flexibility while maintaining the storage efficiency and query performance typically associated with rigid, purpose-built systems.</w:t>
      </w:r>
    </w:p>
    <w:p>
      <w:pPr>
        <w:spacing w:after="300"/>
      </w:pPr>
      <w:r>
        <w:t xml:space="preserve">This document provides a technical deep-dive into the architecture, with particular emphasis on the molecule system's dynamic storage adaptation and cross-industry capabilities.</w:t>
      </w:r>
    </w:p>
    <w:p>
      <w:pPr>
        <w:pStyle w:val="Heading1"/>
      </w:pPr>
      <w:r>
        <w:t xml:space="preserve">The Problem with Traditional Loyalty Platforms</w:t>
      </w:r>
    </w:p>
    <w:p>
      <w:pPr>
        <w:spacing w:after="200"/>
      </w:pPr>
      <w:r>
        <w:t xml:space="preserve">Traditional loyalty platforms are built around fixed schemas. This approach creates several problems: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 Lock-in: </w:t>
      </w:r>
      <w:r>
        <w:t xml:space="preserve">Adding hotel support requires new tables, new code paths, new APIs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Tenant Rigidity: </w:t>
      </w:r>
      <w:r>
        <w:t xml:space="preserve">Delta and United must use identical field structures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Schema Ossification: </w:t>
      </w:r>
      <w:r>
        <w:t xml:space="preserve">Adding a field requires migrations across production data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Wasted Storage: </w:t>
      </w:r>
      <w:r>
        <w:t xml:space="preserve">VARCHAR(255) "just in case" wastes bytes at scale</w:t>
      </w:r>
    </w:p>
    <w:p>
      <w:pPr>
        <w:spacing w:after="300"/>
      </w:pPr>
      <w:r>
        <w:rPr>
          <w:i/>
          <w:iCs/>
        </w:rPr>
        <w:t xml:space="preserve">The result: expensive customization, slow feature delivery, and systems that calcify over time.</w:t>
      </w:r>
    </w:p>
    <w:p>
      <w:pPr>
        <w:pStyle w:val="Heading1"/>
      </w:pPr>
      <w:r>
        <w:t xml:space="preserve">The Molecule System: Data as the Schema</w:t>
      </w:r>
    </w:p>
    <w:p>
      <w:pPr>
        <w:pStyle w:val="Heading2"/>
      </w:pPr>
      <w:r>
        <w:t xml:space="preserve">Core Concept</w:t>
      </w:r>
    </w:p>
    <w:p>
      <w:pPr>
        <w:spacing w:after="200"/>
      </w:pPr>
      <w:r>
        <w:t xml:space="preserve">A </w:t>
      </w:r>
      <w:r>
        <w:rPr>
          <w:b/>
          <w:bCs/>
        </w:rPr>
        <w:t xml:space="preserve">molecule</w:t>
      </w:r>
      <w:r>
        <w:t xml:space="preserve"> is a named, typed, configurable unit of data that attaches to an entity (activity, member). Instead of hardcoded columns, entities are composed of molecules.</w:t>
      </w:r>
    </w:p>
    <w:p>
      <w:pPr>
        <w:spacing w:after="200"/>
      </w:pPr>
      <w:r>
        <w:rPr>
          <w:b/>
          <w:bCs/>
        </w:rPr>
        <w:t xml:space="preserve">The critical insight: business rules live in data, not code.</w:t>
      </w:r>
      <w:r>
        <w:t xml:space="preserve"> The application doesn't know about "flights" or "hotel stays"—it knows about molecules and their compositions.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Molecule-Based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flight.carrier VARCHAR(3)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carrier, storage_size: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flight.origin CHAR(3)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origin, storage_size: 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flight.fare_class CHAR(1)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fare_class, storage_size: 1</w:t>
            </w:r>
          </w:p>
        </w:tc>
      </w:tr>
    </w:tbl>
    <w:p>
      <w:pPr>
        <w:spacing w:before="300"/>
      </w:pPr>
    </w:p>
    <w:p>
      <w:pPr>
        <w:pStyle w:val="Heading1"/>
      </w:pPr>
      <w:r>
        <w:t xml:space="preserve">Dynamic Storage Architecture</w:t>
      </w:r>
    </w:p>
    <w:p>
      <w:pPr>
        <w:pStyle w:val="Heading2"/>
      </w:pPr>
      <w:r>
        <w:t xml:space="preserve">The Innovation: Tables Named by Data Shape</w:t>
      </w:r>
    </w:p>
    <w:p>
      <w:pPr>
        <w:spacing w:after="200"/>
      </w:pPr>
      <w:r>
        <w:t xml:space="preserve">Traditional systems: one table per entity type, columns for every possible field.</w:t>
      </w:r>
    </w:p>
    <w:p>
      <w:pPr>
        <w:spacing w:after="200"/>
      </w:pPr>
      <w:r>
        <w:t xml:space="preserve">Our system: </w:t>
      </w:r>
      <w:r>
        <w:rPr>
          <w:b/>
          <w:bCs/>
        </w:rPr>
        <w:t xml:space="preserve">tables named by their storage characteristics</w:t>
      </w:r>
      <w:r>
        <w:t xml:space="preserve">, shared across all entity types.</w:t>
      </w:r>
    </w:p>
    <w:p>
      <w:pPr>
        <w:shd w:fill="f7fafc"/>
        <w:spacing w:after="100"/>
      </w:pPr>
      <w:r>
        <w:rPr>
          <w:rFonts w:ascii="Courier New" w:cs="Courier New" w:eastAsia="Courier New" w:hAnsi="Courier New"/>
          <w:b/>
          <w:bCs/>
          <w:sz w:val="24"/>
          <w:szCs w:val="24"/>
        </w:rPr>
        <w:t xml:space="preserve">{link_bytes}_data_{storage_size}</w:t>
      </w:r>
    </w:p>
    <w:p>
      <w:pPr>
        <w:spacing w:after="200"/>
      </w:pPr>
      <w:r>
        <w:t xml:space="preserve">Where </w:t>
      </w:r>
      <w:r>
        <w:rPr>
          <w:rFonts w:ascii="Courier New" w:cs="Courier New" w:eastAsia="Courier New" w:hAnsi="Courier New"/>
        </w:rPr>
        <w:t xml:space="preserve">link_bytes</w:t>
      </w:r>
      <w:r>
        <w:t xml:space="preserve"> = parent entity's primary key size, and </w:t>
      </w:r>
      <w:r>
        <w:rPr>
          <w:rFonts w:ascii="Courier New" w:cs="Courier New" w:eastAsia="Courier New" w:hAnsi="Courier New"/>
        </w:rPr>
        <w:t xml:space="preserve">storage_size</w:t>
      </w:r>
      <w:r>
        <w:t xml:space="preserve"> = the value storage pattern.</w:t>
      </w:r>
    </w:p>
    <w:p>
      <w:pPr>
        <w:pStyle w:val="Heading2"/>
      </w:pPr>
      <w:r>
        <w:t xml:space="preserve">Current Table Set</w:t>
      </w:r>
    </w:p>
    <w:p>
      <w:pPr>
        <w:shd w:fill="f7fafc"/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5_data_1    (p_link CHAR(5), attaches_to, molecule_id, c1 CHAR(1))</w:t>
      </w:r>
    </w:p>
    <w:p>
      <w:pPr>
        <w:shd w:fill="f7fafc"/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5_data_2    (p_link CHAR(5), attaches_to, molecule_id, n1 SMALLINT)</w:t>
      </w:r>
    </w:p>
    <w:p>
      <w:pPr>
        <w:shd w:fill="f7fafc"/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5_data_3    (p_link CHAR(5), attaches_to, molecule_id, c1 CHAR(3))</w:t>
      </w:r>
    </w:p>
    <w:p>
      <w:pPr>
        <w:shd w:fill="f7fafc"/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5_data_4    (p_link CHAR(5), attaches_to, molecule_id, n1 INTEGER)</w:t>
      </w:r>
    </w:p>
    <w:p>
      <w:pPr>
        <w:shd w:fill="f7fafc"/>
        <w:spacing w:after="50"/>
      </w:pPr>
      <w:r>
        <w:rPr>
          <w:rFonts w:ascii="Courier New" w:cs="Courier New" w:eastAsia="Courier New" w:hAnsi="Courier New"/>
          <w:sz w:val="18"/>
          <w:szCs w:val="18"/>
        </w:rPr>
        <w:t xml:space="preserve">5_data_5    (p_link CHAR(5), attaches_to, molecule_id, c1 CHAR(5))</w:t>
      </w:r>
    </w:p>
    <w:p>
      <w:pPr>
        <w:shd w:fill="f7fafc"/>
        <w:spacing w:after="200"/>
      </w:pPr>
      <w:r>
        <w:rPr>
          <w:rFonts w:ascii="Courier New" w:cs="Courier New" w:eastAsia="Courier New" w:hAnsi="Courier New"/>
          <w:sz w:val="18"/>
          <w:szCs w:val="18"/>
        </w:rPr>
        <w:t xml:space="preserve">5_data_54   (p_link CHAR(5), attaches_to, molecule_id, c1 CHAR(5), n1 INTEGER)</w:t>
      </w:r>
    </w:p>
    <w:p>
      <w:pPr>
        <w:pStyle w:val="Heading2"/>
      </w:pPr>
      <w:r>
        <w:t xml:space="preserve">Why This Matters</w:t>
      </w:r>
    </w:p>
    <w:p>
      <w:pPr>
        <w:spacing w:after="200"/>
      </w:pPr>
      <w:r>
        <w:rPr>
          <w:b/>
          <w:bCs/>
        </w:rPr>
        <w:t xml:space="preserve">Adding a new molecule type requires zero schema changes.</w:t>
      </w:r>
    </w:p>
    <w:p>
      <w:pPr>
        <w:spacing w:after="100"/>
      </w:pPr>
      <w:r>
        <w:t xml:space="preserve">Need to track carbon offset miles (4-byte integer)?</w:t>
      </w:r>
    </w:p>
    <w:p>
      <w:pPr>
        <w:pStyle w:val="ListParagraph"/>
        <w:numPr>
          <w:ilvl w:val="0"/>
          <w:numId w:val="3"/>
        </w:numPr>
      </w:pPr>
      <w:r>
        <w:t xml:space="preserve">Insert row in molecule_def with storage_size: '4'</w:t>
      </w:r>
    </w:p>
    <w:p>
      <w:pPr>
        <w:pStyle w:val="ListParagraph"/>
        <w:numPr>
          <w:ilvl w:val="0"/>
          <w:numId w:val="3"/>
        </w:numPr>
      </w:pPr>
      <w:r>
        <w:t xml:space="preserve">The 5_data_4 table already exists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Application immediately supports it</w:t>
      </w:r>
    </w:p>
    <w:p>
      <w:pPr>
        <w:spacing w:after="300"/>
      </w:pPr>
      <w:r>
        <w:t xml:space="preserve">The storage layer </w:t>
      </w:r>
      <w:r>
        <w:rPr>
          <w:b/>
          <w:bCs/>
        </w:rPr>
        <w:t xml:space="preserve">grows organically</w:t>
      </w:r>
      <w:r>
        <w:t xml:space="preserve"> based on actual data needs, not speculative schema design.</w:t>
      </w:r>
    </w:p>
    <w:p>
      <w:pPr>
        <w:pStyle w:val="Heading1"/>
      </w:pPr>
      <w:r>
        <w:t xml:space="preserve">Cross-Industry Adaptability</w:t>
      </w:r>
    </w:p>
    <w:p>
      <w:pPr>
        <w:pStyle w:val="Heading2"/>
      </w:pPr>
      <w:r>
        <w:t xml:space="preserve">Same Code, Different Industries</w:t>
      </w:r>
    </w:p>
    <w:p>
      <w:pPr>
        <w:spacing w:after="200"/>
      </w:pPr>
      <w:r>
        <w:t xml:space="preserve">The platform doesn't contain airline logic or hotel logic. It contains </w:t>
      </w:r>
      <w:r>
        <w:rPr>
          <w:b/>
          <w:bCs/>
        </w:rPr>
        <w:t xml:space="preserve">molecule logic</w:t>
      </w:r>
      <w:r>
        <w:t xml:space="preserve">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Airline: Flight Composite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Hotel: Stay Composite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carrier</w:t>
            </w:r>
          </w:p>
          <w:p>
            <w:r>
              <w:t xml:space="preserve">origin</w:t>
            </w:r>
          </w:p>
          <w:p>
            <w:r>
              <w:t xml:space="preserve">destination</w:t>
            </w:r>
          </w:p>
          <w:p>
            <w:r>
              <w:t xml:space="preserve">flight_number</w:t>
            </w:r>
          </w:p>
          <w:p>
            <w:r>
              <w:t xml:space="preserve">fare_class</w:t>
            </w:r>
          </w:p>
          <w:p>
            <w:r>
              <w:t xml:space="preserve">member_points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hotel_brand</w:t>
            </w:r>
          </w:p>
          <w:p>
            <w:r>
              <w:t xml:space="preserve">property</w:t>
            </w:r>
          </w:p>
          <w:p>
            <w:r>
              <w:t xml:space="preserve">room_type</w:t>
            </w:r>
          </w:p>
          <w:p>
            <w:r>
              <w:t xml:space="preserve">nights</w:t>
            </w:r>
          </w:p>
          <w:p>
            <w:r>
              <w:t xml:space="preserve">rate_code</w:t>
            </w:r>
          </w:p>
          <w:p>
            <w:r>
              <w:t xml:space="preserve">member_points</w:t>
            </w:r>
          </w:p>
        </w:tc>
      </w:tr>
    </w:tbl>
    <w:p>
      <w:pPr>
        <w:spacing w:before="200" w:after="300"/>
      </w:pPr>
      <w:r>
        <w:rPr>
          <w:b/>
          <w:bCs/>
        </w:rPr>
        <w:t xml:space="preserve">The application code is identical.</w:t>
      </w:r>
      <w:r>
        <w:t xml:space="preserve"> The difference is entirely in molecule definitions and lookup tables—pure data configuration.</w:t>
      </w:r>
    </w:p>
    <w:p>
      <w:pPr>
        <w:pStyle w:val="Heading2"/>
      </w:pPr>
      <w:r>
        <w:t xml:space="preserve">Instant Propagation Across the Stack</w:t>
      </w:r>
    </w:p>
    <w:p>
      <w:pPr>
        <w:spacing w:after="200"/>
      </w:pPr>
      <w:r>
        <w:t xml:space="preserve">When a new molecule is added, it's immediately available everywhere—</w:t>
      </w:r>
      <w:r>
        <w:rPr>
          <w:b/>
          <w:bCs/>
        </w:rPr>
        <w:t xml:space="preserve">no deployments, no code changes, no waiting</w:t>
      </w:r>
      <w:r>
        <w:t xml:space="preserve">.</w:t>
      </w:r>
    </w:p>
    <w:p>
      <w:pPr>
        <w:spacing w:after="100"/>
      </w:pPr>
      <w:r>
        <w:rPr>
          <w:b/>
          <w:bCs/>
        </w:rPr>
        <w:t xml:space="preserve">API Access: </w:t>
      </w:r>
      <w:r>
        <w:t xml:space="preserve">The molecule endpoints are generic. Adding a molecule definition makes it instantly queryable. No new routes needed.</w:t>
      </w:r>
    </w:p>
    <w:p>
      <w:pPr>
        <w:spacing w:after="100"/>
      </w:pPr>
      <w:r>
        <w:rPr>
          <w:b/>
          <w:bCs/>
        </w:rPr>
        <w:t xml:space="preserve">Input Pages: </w:t>
      </w:r>
      <w:r>
        <w:t xml:space="preserve">Activity entry forms are molecule-driven. New molecule? New field appears automatically.</w:t>
      </w:r>
    </w:p>
    <w:p>
      <w:pPr>
        <w:spacing w:after="100"/>
      </w:pPr>
      <w:r>
        <w:rPr>
          <w:b/>
          <w:bCs/>
        </w:rPr>
        <w:t xml:space="preserve">Display Pages: </w:t>
      </w:r>
      <w:r>
        <w:t xml:space="preserve">Activity history, member profiles, and reports pull molecule values dynamically using the display template system.</w:t>
      </w:r>
    </w:p>
    <w:p>
      <w:pPr>
        <w:spacing w:after="200"/>
      </w:pPr>
      <w:r>
        <w:rPr>
          <w:b/>
          <w:bCs/>
        </w:rPr>
        <w:t xml:space="preserve">Rules Engine: </w:t>
      </w:r>
      <w:r>
        <w:t xml:space="preserve">Bonus and promotion rules evaluate molecules by key. The moment a molecule exists, it can be used in rule criteria.</w:t>
      </w:r>
    </w:p>
    <w:p>
      <w:pPr>
        <w:spacing w:after="100"/>
      </w:pPr>
      <w:r>
        <w:rPr>
          <w:i/>
          <w:iCs/>
        </w:rPr>
        <w:t xml:space="preserve">For new client setup: </w:t>
      </w:r>
      <w:r>
        <w:t xml:space="preserve">Configure molecules, composites, and lookup tables. The platform is ready. No custom development phase, no code branches per client.</w:t>
      </w:r>
    </w:p>
    <w:p>
      <w:pPr>
        <w:spacing w:after="300"/>
      </w:pPr>
      <w:r>
        <w:rPr>
          <w:i/>
          <w:iCs/>
        </w:rPr>
        <w:t xml:space="preserve">For ongoing operations: </w:t>
      </w:r>
      <w:r>
        <w:t xml:space="preserve">Marketing wants to track a new attribute for a promotion next month? Add the molecule today, update input forms, create the bonus rule. Live by end of week—not end of quarter.</w:t>
      </w:r>
    </w:p>
    <w:p>
      <w:pPr>
        <w:shd w:fill="e6fffa"/>
        <w:spacing w:after="300"/>
      </w:pPr>
      <w:r>
        <w:rPr>
          <w:b/>
          <w:bCs/>
        </w:rPr>
        <w:t xml:space="preserve">This is the practical payoff of data-driven architecture: the speed of configuration with the power of custom development.</w:t>
      </w:r>
    </w:p>
    <w:p>
      <w:pPr>
        <w:pStyle w:val="Heading1"/>
      </w:pPr>
      <w:r>
        <w:t xml:space="preserve">Storage Efficiency Through Right-Sizing</w:t>
      </w:r>
    </w:p>
    <w:p>
      <w:pPr>
        <w:spacing w:after="200"/>
      </w:pPr>
      <w:r>
        <w:t xml:space="preserve">Every byte matters at scale. The platform enforces </w:t>
      </w:r>
      <w:r>
        <w:rPr>
          <w:b/>
          <w:bCs/>
        </w:rPr>
        <w:t xml:space="preserve">right-sized storage</w:t>
      </w:r>
      <w:r>
        <w:t xml:space="preserve"> throughout: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Data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Traditional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Our Approach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Savings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State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VARCHAR(255)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253 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Airport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VARCHAR(50)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SMALLINT 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48 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Activity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DATE (4 bytes)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SMALLINT (2)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 bytes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Primary keys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BIGINT (8)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CHAR(5)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 bytes</w:t>
            </w:r>
          </w:p>
        </w:tc>
      </w:tr>
    </w:tbl>
    <w:p>
      <w:pPr>
        <w:pStyle w:val="Heading2"/>
        <w:spacing w:before="300"/>
      </w:pPr>
      <w:r>
        <w:t xml:space="preserve">Compound Savings</w:t>
      </w:r>
    </w:p>
    <w:p>
      <w:pPr>
        <w:spacing w:after="100"/>
      </w:pPr>
      <w:r>
        <w:t xml:space="preserve">At 100 million activities with 5 molecules each:</w:t>
      </w:r>
    </w:p>
    <w:p>
      <w:pPr>
        <w:pStyle w:val="ListParagraph"/>
        <w:numPr>
          <w:ilvl w:val="0"/>
          <w:numId w:val="3"/>
        </w:numPr>
      </w:pPr>
      <w:r>
        <w:t xml:space="preserve">Traditional approach: ~56 bytes in IDs/pointers per activity</w:t>
      </w:r>
    </w:p>
    <w:p>
      <w:pPr>
        <w:pStyle w:val="ListParagraph"/>
        <w:numPr>
          <w:ilvl w:val="0"/>
          <w:numId w:val="3"/>
        </w:numPr>
      </w:pPr>
      <w:r>
        <w:t xml:space="preserve">Our approach: ~19 bytes in IDs/pointers per activity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Savings: 3.7 GB in index data alone</w:t>
      </w:r>
    </w:p>
    <w:p>
      <w:pPr>
        <w:spacing w:after="300"/>
      </w:pPr>
      <w:r>
        <w:t xml:space="preserve">These savings compound into faster queries, better cache utilization, and reduced I/O.</w:t>
      </w:r>
    </w:p>
    <w:p>
      <w:pPr>
        <w:pStyle w:val="Heading1"/>
      </w:pPr>
      <w:r>
        <w:t xml:space="preserve">Temporal-First Design</w:t>
      </w:r>
    </w:p>
    <w:p>
      <w:pPr>
        <w:pStyle w:val="Heading2"/>
      </w:pPr>
      <w:r>
        <w:t xml:space="preserve">Point Balances Are Derived, Never Stored</w:t>
      </w:r>
    </w:p>
    <w:p>
      <w:pPr>
        <w:spacing w:after="200"/>
      </w:pPr>
      <w:r>
        <w:t xml:space="preserve">Traditional systems store current balance and update it on each transaction. This creates race conditions, complex rollback logic, and inability to answer "what was balance on March 15?"</w:t>
      </w:r>
    </w:p>
    <w:p>
      <w:pPr>
        <w:spacing w:after="200"/>
      </w:pPr>
      <w:r>
        <w:t xml:space="preserve">Our approach: </w:t>
      </w:r>
      <w:r>
        <w:rPr>
          <w:b/>
          <w:bCs/>
        </w:rPr>
        <w:t xml:space="preserve">point balances are always calculated from transaction history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Retro-credit just works: </w:t>
      </w:r>
      <w:r>
        <w:t xml:space="preserve">New bonus rules automatically apply to past activities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Time-travel queries: </w:t>
      </w:r>
      <w:r>
        <w:t xml:space="preserve">Balance on any historical date is trivial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Complete audit trail: </w:t>
      </w:r>
      <w:r>
        <w:t xml:space="preserve">Every point movement is traceable</w:t>
      </w:r>
    </w:p>
    <w:p>
      <w:pPr>
        <w:pStyle w:val="ListParagraph"/>
        <w:numPr>
          <w:ilvl w:val="0"/>
          <w:numId w:val="3"/>
        </w:numPr>
        <w:spacing w:after="300"/>
      </w:pPr>
      <w:r>
        <w:rPr>
          <w:b/>
          <w:bCs/>
        </w:rPr>
        <w:t xml:space="preserve">No race conditions: </w:t>
      </w:r>
      <w:r>
        <w:t xml:space="preserve">Transactions are append-only</w:t>
      </w:r>
    </w:p>
    <w:p>
      <w:pPr>
        <w:pStyle w:val="Heading1"/>
      </w:pPr>
      <w:r>
        <w:t xml:space="preserve">Multi-Tenant Isolation</w:t>
      </w:r>
    </w:p>
    <w:p>
      <w:pPr>
        <w:spacing w:after="200"/>
      </w:pPr>
      <w:r>
        <w:t xml:space="preserve">Every table includes tenant_id. Every query filters by it. Combined with Row-Level Security policies, cross-tenant data access becomes impossible at the database level—not just the application level.</w:t>
      </w:r>
    </w:p>
    <w:p>
      <w:pPr>
        <w:spacing w:after="100"/>
      </w:pPr>
      <w:r>
        <w:rPr>
          <w:b/>
          <w:bCs/>
        </w:rPr>
        <w:t xml:space="preserve">Tenant-specific everything:</w:t>
      </w:r>
    </w:p>
    <w:p>
      <w:pPr>
        <w:pStyle w:val="ListParagraph"/>
        <w:numPr>
          <w:ilvl w:val="0"/>
          <w:numId w:val="3"/>
        </w:numPr>
      </w:pPr>
      <w:r>
        <w:t xml:space="preserve">Molecule definitions per tenant</w:t>
      </w:r>
    </w:p>
    <w:p>
      <w:pPr>
        <w:pStyle w:val="ListParagraph"/>
        <w:numPr>
          <w:ilvl w:val="0"/>
          <w:numId w:val="3"/>
        </w:numPr>
      </w:pPr>
      <w:r>
        <w:t xml:space="preserve">Lookup tables (airlines, airports, hotels) per tenant</w:t>
      </w:r>
    </w:p>
    <w:p>
      <w:pPr>
        <w:pStyle w:val="ListParagraph"/>
        <w:numPr>
          <w:ilvl w:val="0"/>
          <w:numId w:val="3"/>
        </w:numPr>
      </w:pPr>
      <w:r>
        <w:t xml:space="preserve">Bonus rules per tenant</w:t>
      </w:r>
    </w:p>
    <w:p>
      <w:pPr>
        <w:pStyle w:val="ListParagraph"/>
        <w:numPr>
          <w:ilvl w:val="0"/>
          <w:numId w:val="3"/>
        </w:numPr>
      </w:pPr>
      <w:r>
        <w:t xml:space="preserve">Display templates per tenant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Terminology ("Miles" vs "Points" vs "Credits") per tenant</w:t>
      </w:r>
    </w:p>
    <w:p>
      <w:pPr>
        <w:spacing w:after="300"/>
      </w:pPr>
      <w:r>
        <w:rPr>
          <w:i/>
          <w:iCs/>
        </w:rPr>
        <w:t xml:space="preserve">Same database, same application, completely isolated business logic.</w:t>
      </w:r>
    </w:p>
    <w:p>
      <w:pPr>
        <w:pStyle w:val="Heading1"/>
      </w:pPr>
      <w:r>
        <w:t xml:space="preserve">Summary: What Makes This Different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d7d7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Traditional Platform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f6d5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New Loyalty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defines capability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 defines capability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Industry-specific code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Industry-agnostic code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Fixed column storage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Dynamic storage routing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Balance stored, updated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Balance derived on demand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Schema migrations for changes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Configuration changes only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Uniform data types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Right-sized to domain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Code-driven business rules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Data-driven business rules</w:t>
            </w:r>
          </w:p>
        </w:tc>
      </w:tr>
    </w:tbl>
    <w:p>
      <w:pPr>
        <w:spacing w:before="400" w:after="200"/>
      </w:pPr>
      <w:r>
        <w:t xml:space="preserve">The molecule system isn't just an abstraction—it's a </w:t>
      </w:r>
      <w:r>
        <w:rPr>
          <w:b/>
          <w:bCs/>
        </w:rPr>
        <w:t xml:space="preserve">fundamentally different approach</w:t>
      </w:r>
      <w:r>
        <w:t xml:space="preserve"> to building adaptable, efficient, multi-tenant systems. The same codebase that runs an airline program today can run a hotel program tomorrow, a retail program next week, or a hybrid program that spans multiple industries.</w:t>
      </w:r>
    </w:p>
    <w:p>
      <w:pPr>
        <w:shd w:fill="edf2f7"/>
        <w:spacing w:after="400"/>
        <w:jc w:val="center"/>
      </w:pPr>
      <w:r>
        <w:rPr>
          <w:b/>
          <w:bCs/>
          <w:sz w:val="24"/>
          <w:szCs w:val="24"/>
        </w:rPr>
        <w:t xml:space="preserve">The platform doesn't know about your industry. It knows about molecules. And that's the point.</w:t>
      </w:r>
    </w:p>
    <w:p>
      <w:pPr>
        <w:spacing w:before="200"/>
        <w:jc w:val="center"/>
      </w:pPr>
      <w:r>
        <w:rPr>
          <w:i/>
          <w:iCs/>
          <w:color w:val="718096"/>
          <w:sz w:val="20"/>
          <w:szCs w:val="20"/>
        </w:rPr>
        <w:t xml:space="preserve">Technical questions welcome. This document reflects architecture as of December 2025.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718096"/>
        <w:sz w:val="20"/>
        <w:szCs w:val="20"/>
      </w:rPr>
      <w:t xml:space="preserve">New Loyalty Platform - Technical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365d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365d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d3748"/>
      <w:sz w:val="26"/>
      <w:szCs w:val="26"/>
    </w:rPr>
  </w:style>
  <w:style w:type="paragraph" w:styleId="Code">
    <w:name w:val="Code"/>
    <w:basedOn w:val="Normal"/>
    <w:pPr>
      <w:shd w:fill="f7fafc"/>
      <w:spacing w:before="100" w:after="100"/>
    </w:pPr>
    <w:rPr>
      <w:rFonts w:ascii="Courier New" w:cs="Courier New" w:eastAsia="Courier New" w:hAnsi="Courier New"/>
      <w:color w:val="2d3748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2025-12-07T23:53:12.290Z</dcterms:created>
  <dcterms:modified xsi:type="dcterms:W3CDTF">2025-12-07T23:53:12.291Z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