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Loyalty Platform – Transfer &amp; Onboarding Document</w:t>
      </w:r>
    </w:p>
    <w:p>
      <w:pPr>
        <w:pStyle w:val="Heading2"/>
      </w:pPr>
      <w:r>
        <w:t>1. Executive Overview</w:t>
      </w:r>
    </w:p>
    <w:p>
      <w:r>
        <w:t>The Loyalty Platform is a multi-tenant, extensible system for managing customer reward programs. It is designed around stability, tenant isolation, and flexibility — enabling unique business logic for each tenant while preserving a stable, shared core. The guiding ethos is: “When the world says no, figure it out anyway.”</w:t>
      </w:r>
    </w:p>
    <w:p>
      <w:pPr>
        <w:pStyle w:val="Heading2"/>
      </w:pPr>
      <w:r>
        <w:t>2. Core Concepts – Program Molecules</w:t>
      </w:r>
    </w:p>
    <w:p>
      <w:r>
        <w:t>Program Molecules define dynamic schema configuration across tenants. Each molecule represents a data attribute such as Carrier, Origin, or Fare Class. These molecules are linked to lookup tables that standardize values and relationships while maintaining tenant independence.</w:t>
      </w:r>
    </w:p>
    <w:p>
      <w:r>
        <w:t>Program Molecules attach directly to accruals, redemptions, and promotions. For example, a 'Carrier' molecule references its lookup table and joins on canonical keys during activity ingest, ensuring uniform business logic without rigid schema constraints.</w:t>
      </w:r>
    </w:p>
    <w:p>
      <w:pPr>
        <w:pStyle w:val="Heading2"/>
      </w:pPr>
      <w:r>
        <w:t>3. Tenant &amp; Data Model</w:t>
      </w:r>
    </w:p>
    <w:p>
      <w:r>
        <w:t>Each tenant has its own schema (t_&lt;tenantkey&gt;), isolating data and logic. Lookup and label architecture ensures non-shared lookups, while dynamic attributes (attr_def, member_attr, activity_attr) allow per-tenant extensibility.</w:t>
      </w:r>
    </w:p>
    <w:p>
      <w:r>
        <w:t>Field labels are editable per tenant — default labels are seeded during onboarding. Canonical keys drive internal logic; labels drive UI and rule-builder terminology.</w:t>
      </w:r>
    </w:p>
    <w:p>
      <w:pPr>
        <w:pStyle w:val="Heading2"/>
      </w:pPr>
      <w:r>
        <w:t>4. Hooks &amp; Extensibility – Custauth Heritage</w:t>
      </w:r>
    </w:p>
    <w:p>
      <w:r>
        <w:t>The system extends the original 'custauth()' model, allowing safe, tenant-specific overrides. Hooks are defined as invoke_hook(name, payload) and default to no-ops unless implemented by a tenant. Example: the 'modify_distance' hook applies a multiplier for Canadian Airlines without affecting others.</w:t>
      </w:r>
    </w:p>
    <w:p>
      <w:pPr>
        <w:pStyle w:val="Heading2"/>
      </w:pPr>
      <w:r>
        <w:t>5. Rules &amp; Promotions Engine</w:t>
      </w:r>
    </w:p>
    <w:p>
      <w:r>
        <w:t>Promotions, bonuses, and tier management are driven by a unified Rules Engine. Each promotion tracks progress, qualification, and award state (ACTIVE → QUALIFIED → AWARDED). Actions can issue points, trigger external APIs, enroll in other promotions, or update tier levels.</w:t>
      </w:r>
    </w:p>
    <w:p>
      <w:r>
        <w:t>Actions run atomically, and side effects use an outbox pattern to ensure reliable delivery after database commit.</w:t>
      </w:r>
    </w:p>
    <w:p>
      <w:pPr>
        <w:pStyle w:val="Heading2"/>
      </w:pPr>
      <w:r>
        <w:t>6. Concurrency &amp; Safety</w:t>
      </w:r>
    </w:p>
    <w:p>
      <w:r>
        <w:t>Concurrency control is implemented with row-level locking: SELECT ... FOR UPDATE on the member row during any member-affecting transaction. This prevents race conditions and maintains balance integrity. Batch workers use SKIP LOCKED for asynchronous operations.</w:t>
      </w:r>
    </w:p>
    <w:p>
      <w:pPr>
        <w:pStyle w:val="Heading2"/>
      </w:pPr>
      <w:r>
        <w:t>7. Activity Architecture</w:t>
      </w:r>
    </w:p>
    <w:p>
      <w:r>
        <w:t>Activity data can come from mock data or live database queries, toggled via a runtime flag. The Activity page uses normalizeActivity() to standardize data from either source. The 'magic_box' structure displays key attributes such as Origin, Destination, Carrier, and Fare Class.</w:t>
      </w:r>
    </w:p>
    <w:p>
      <w:pPr>
        <w:pStyle w:val="Heading2"/>
      </w:pPr>
      <w:r>
        <w:t>8. Promotions &amp; Tier Management</w:t>
      </w:r>
    </w:p>
    <w:p>
      <w:r>
        <w:t>Promotions link to per-member counters and participation cycles. Tier thresholds (e.g., 20k=Silver, 40k=Gold) are defined as promotion-style rules, ensuring consistency and auditability.</w:t>
      </w:r>
    </w:p>
    <w:p>
      <w:r>
        <w:t>Awards and tier changes are idempotent, logged in history tables, and governed by carryover policies.</w:t>
      </w:r>
    </w:p>
    <w:p>
      <w:pPr>
        <w:pStyle w:val="Heading2"/>
      </w:pPr>
      <w:r>
        <w:t>9. Implementation Principles</w:t>
      </w:r>
    </w:p>
    <w:p>
      <w:r>
        <w:t>Tenant provisioning seeds lookup tables, labels, and attribute definitions. Default states are always safe — hooks default to no-ops, and unconfigured features remain inert until enabled. Design motto: 'Safe when unused, harmless when added, easily discoverable.'</w:t>
      </w:r>
    </w:p>
    <w:p>
      <w:pPr>
        <w:pStyle w:val="Heading2"/>
      </w:pPr>
      <w:r>
        <w:t>10. Files &amp; API Components</w:t>
      </w:r>
    </w:p>
    <w:p>
      <w:r>
        <w:t>Key working API endpoints:</w:t>
      </w:r>
    </w:p>
    <w:p>
      <w:r>
        <w:t>/v1/member/:id/balances</w:t>
      </w:r>
    </w:p>
    <w:p>
      <w:r>
        <w:t>/v1/member/:id/activities</w:t>
      </w:r>
    </w:p>
    <w:p>
      <w:r>
        <w:t>/v1/member/:id/buckets</w:t>
      </w:r>
    </w:p>
    <w:p>
      <w:r>
        <w:t>/v1/member/search</w:t>
      </w:r>
    </w:p>
    <w:p>
      <w:r>
        <w:t>Front-end files include activity.html, activity-pretty.js, and server_db_api.js, all of which align under the singular path pattern (/v1/member/... rather than /v1/members/...).</w:t>
      </w:r>
    </w:p>
    <w:p>
      <w:pPr>
        <w:pStyle w:val="Heading2"/>
      </w:pPr>
      <w:r>
        <w:t>11. Next Steps</w:t>
      </w:r>
    </w:p>
    <w:p>
      <w:r>
        <w:t>Merge mock and database activity sources into a unified handler. Extend the promotions engine with additional actions, including partner integrations and wallet-based redemptions. Ensure future versions preserve tenant safety and modularity.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