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300A" w:rsidRDefault="00CC300A" w:rsidP="00952623">
      <w:pPr>
        <w:spacing w:line="480" w:lineRule="auto"/>
        <w:jc w:val="center"/>
        <w:rPr>
          <w:b/>
        </w:rPr>
      </w:pPr>
    </w:p>
    <w:p w:rsidR="00CC300A" w:rsidRDefault="00CC300A" w:rsidP="00952623">
      <w:pPr>
        <w:spacing w:line="480" w:lineRule="auto"/>
        <w:jc w:val="center"/>
        <w:rPr>
          <w:b/>
        </w:rPr>
      </w:pPr>
    </w:p>
    <w:p w:rsidR="00CC300A" w:rsidRDefault="00CC300A" w:rsidP="00952623">
      <w:pPr>
        <w:spacing w:line="480" w:lineRule="auto"/>
        <w:rPr>
          <w:b/>
        </w:rPr>
      </w:pPr>
    </w:p>
    <w:p w:rsidR="00952623" w:rsidRDefault="00952623" w:rsidP="00952623">
      <w:pPr>
        <w:spacing w:line="480" w:lineRule="auto"/>
        <w:rPr>
          <w:b/>
        </w:rPr>
      </w:pPr>
    </w:p>
    <w:p w:rsidR="004F4E8F" w:rsidRDefault="007E37A0" w:rsidP="00952623">
      <w:pPr>
        <w:spacing w:line="480" w:lineRule="auto"/>
        <w:jc w:val="center"/>
        <w:rPr>
          <w:b/>
        </w:rPr>
      </w:pPr>
      <w:r>
        <w:rPr>
          <w:b/>
        </w:rPr>
        <w:t>Exploring the relationship between perceived mental health and perceived physical health: a simple linear regression model based on BRFSS self-report data</w:t>
      </w:r>
    </w:p>
    <w:p w:rsidR="00CC300A" w:rsidRDefault="00CC300A" w:rsidP="00952623">
      <w:pPr>
        <w:spacing w:line="480" w:lineRule="auto"/>
        <w:jc w:val="center"/>
      </w:pPr>
    </w:p>
    <w:p w:rsidR="00CC300A" w:rsidRDefault="00CC300A" w:rsidP="00952623">
      <w:pPr>
        <w:spacing w:line="480" w:lineRule="auto"/>
        <w:jc w:val="center"/>
      </w:pPr>
    </w:p>
    <w:p w:rsidR="00CC300A" w:rsidRDefault="00CC300A" w:rsidP="00952623">
      <w:pPr>
        <w:spacing w:line="480" w:lineRule="auto"/>
        <w:jc w:val="center"/>
      </w:pPr>
    </w:p>
    <w:p w:rsidR="007E37A0" w:rsidRDefault="007E37A0" w:rsidP="00952623">
      <w:pPr>
        <w:spacing w:line="480" w:lineRule="auto"/>
        <w:jc w:val="center"/>
      </w:pPr>
      <w:r>
        <w:t>Bill Yuanchen Liu</w:t>
      </w:r>
    </w:p>
    <w:p w:rsidR="007E37A0" w:rsidRDefault="00CC300A" w:rsidP="00952623">
      <w:pPr>
        <w:spacing w:line="480" w:lineRule="auto"/>
        <w:jc w:val="center"/>
      </w:pPr>
      <w:r>
        <w:t>Brown School, Washington University in St. Louis</w:t>
      </w:r>
    </w:p>
    <w:p w:rsidR="00CC300A" w:rsidRDefault="00CC300A" w:rsidP="00952623">
      <w:pPr>
        <w:spacing w:line="480" w:lineRule="auto"/>
        <w:jc w:val="center"/>
      </w:pPr>
      <w:r>
        <w:t>A</w:t>
      </w:r>
      <w:r w:rsidR="00296E79">
        <w:t>pplied</w:t>
      </w:r>
      <w:r>
        <w:t xml:space="preserve"> Linear Modelling</w:t>
      </w:r>
    </w:p>
    <w:p w:rsidR="00CC300A" w:rsidRDefault="00CC300A" w:rsidP="00952623">
      <w:pPr>
        <w:spacing w:line="480" w:lineRule="auto"/>
        <w:jc w:val="center"/>
      </w:pPr>
      <w:r>
        <w:t>Professor Joe Steensma</w:t>
      </w:r>
    </w:p>
    <w:p w:rsidR="00CC300A" w:rsidRDefault="00CC300A" w:rsidP="00952623">
      <w:pPr>
        <w:spacing w:line="480" w:lineRule="auto"/>
        <w:jc w:val="center"/>
      </w:pPr>
      <w:r>
        <w:t>Sept 27, 2018</w:t>
      </w:r>
    </w:p>
    <w:p w:rsidR="00CC300A" w:rsidRPr="007E37A0" w:rsidRDefault="00CC300A" w:rsidP="00952623">
      <w:pPr>
        <w:spacing w:line="480" w:lineRule="auto"/>
      </w:pPr>
      <w:r>
        <w:br w:type="page"/>
      </w:r>
    </w:p>
    <w:p w:rsidR="00BA099F" w:rsidRPr="00296E79" w:rsidRDefault="004F4E8F" w:rsidP="00952623">
      <w:pPr>
        <w:spacing w:line="480" w:lineRule="auto"/>
        <w:rPr>
          <w:b/>
          <w:sz w:val="24"/>
        </w:rPr>
      </w:pPr>
      <w:r w:rsidRPr="00296E79">
        <w:rPr>
          <w:b/>
          <w:sz w:val="24"/>
        </w:rPr>
        <w:lastRenderedPageBreak/>
        <w:t>Introduction</w:t>
      </w:r>
    </w:p>
    <w:p w:rsidR="00DB1B11" w:rsidRDefault="00917C9E" w:rsidP="00952623">
      <w:pPr>
        <w:spacing w:line="480" w:lineRule="auto"/>
      </w:pPr>
      <w:r>
        <w:t>The current paradigm in our understanding of health is most notably defined by the World Health Organization in 1948, as “</w:t>
      </w:r>
      <w:r w:rsidRPr="00917C9E">
        <w:rPr>
          <w:i/>
        </w:rPr>
        <w:t>a state of complete physical, mental and social well-being and not merely the absence of disease or infirmity</w:t>
      </w:r>
      <w:r>
        <w:t>.”</w:t>
      </w:r>
      <w:r w:rsidR="004949FA">
        <w:fldChar w:fldCharType="begin"/>
      </w:r>
      <w:r w:rsidR="004949FA">
        <w:instrText xml:space="preserve"> ADDIN ZOTERO_ITEM CSL_CITATION {"citationID":"LUvGkRxz","properties":{"formattedCitation":"\\super 1\\nosupersub{}","plainCitation":"1","noteIndex":0},"citationItems":[{"id":375,"uris":["http://zotero.org/users/4299132/items/KIF8ZJ2F"],"uri":["http://zotero.org/users/4299132/items/KIF8ZJ2F"],"itemData":{"id":375,"type":"webpage","title":"Constitution of WHO: principles","container-title":"WHO","URL":"http://www.who.int/about/mission/en/","shortTitle":"WHO | Constitution of WHO","author":[{"literal":"World Health Organization."}],"accessed":{"date-parts":[["2018",9,28]]}}}],"schema":"https://github.com/citation-style-language/schema/raw/master/csl-citation.json"} </w:instrText>
      </w:r>
      <w:r w:rsidR="004949FA">
        <w:fldChar w:fldCharType="separate"/>
      </w:r>
      <w:r w:rsidR="004949FA" w:rsidRPr="004949FA">
        <w:rPr>
          <w:rFonts w:ascii="Calibri" w:hAnsi="Calibri" w:cs="Calibri"/>
          <w:szCs w:val="24"/>
          <w:vertAlign w:val="superscript"/>
        </w:rPr>
        <w:t>1</w:t>
      </w:r>
      <w:r w:rsidR="004949FA">
        <w:fldChar w:fldCharType="end"/>
      </w:r>
      <w:r>
        <w:t xml:space="preserve"> This was described as ambitious at the time, hailing from a previous understanding of health as the absence of primarily physical illness or disease.</w:t>
      </w:r>
      <w:r w:rsidR="004949FA">
        <w:fldChar w:fldCharType="begin"/>
      </w:r>
      <w:r w:rsidR="004949FA">
        <w:instrText xml:space="preserve"> ADDIN ZOTERO_ITEM CSL_CITATION {"citationID":"yh8zWMfw","properties":{"formattedCitation":"\\super 2\\nosupersub{}","plainCitation":"2","noteIndex":0},"citationItems":[{"id":364,"uris":["http://zotero.org/users/4299132/items/92XE6IBY"],"uri":["http://zotero.org/users/4299132/items/92XE6IBY"],"itemData":{"id":364,"type":"article-journal","title":"How should we define health?","container-title":"BMJ","page":"d4163","volume":"343","source":"www.bmj.com","abstract":"&lt;p&gt;The WHO definition of health as complete wellbeing is no longer fit for purpose given the rise of chronic disease. &lt;b&gt;Machteld Huber and colleagues &lt;/b&gt;propose changing the emphasis towards the ability to adapt and self manage in the face of social, physical, and emotional challenges&lt;/p&gt;","DOI":"10.1136/bmj.d4163","ISSN":"0959-8138, 1468-5833","note":"PMID: 21791490","journalAbbreviation":"BMJ","language":"en","author":[{"family":"Huber","given":"Machteld"},{"family":"Knottnerus","given":"J. André"},{"family":"Green","given":"Lawrence"},{"family":"Horst","given":"Henriëtte","dropping-particle":"van der"},{"family":"Jadad","given":"Alejandro R."},{"family":"Kromhout","given":"Daan"},{"family":"Leonard","given":"Brian"},{"family":"Lorig","given":"Kate"},{"family":"Loureiro","given":"Maria Isabel"},{"family":"Meer","given":"Jos W. M.","dropping-particle":"van der"},{"family":"Schnabel","given":"Paul"},{"family":"Smith","given":"Richard"},{"family":"Weel","given":"Chris","dropping-particle":"van"},{"family":"Smid","given":"Henk"}],"issued":{"date-parts":[["2011",7,26]]}}}],"schema":"https://github.com/citation-style-language/schema/raw/master/csl-citation.json"} </w:instrText>
      </w:r>
      <w:r w:rsidR="004949FA">
        <w:fldChar w:fldCharType="separate"/>
      </w:r>
      <w:r w:rsidR="004949FA" w:rsidRPr="004949FA">
        <w:rPr>
          <w:rFonts w:ascii="Calibri" w:hAnsi="Calibri" w:cs="Calibri"/>
          <w:szCs w:val="24"/>
          <w:vertAlign w:val="superscript"/>
        </w:rPr>
        <w:t>2</w:t>
      </w:r>
      <w:r w:rsidR="004949FA">
        <w:fldChar w:fldCharType="end"/>
      </w:r>
      <w:r>
        <w:t xml:space="preserve"> As the field of mental health and social well-being grew</w:t>
      </w:r>
      <w:r w:rsidR="00FA79A9">
        <w:t xml:space="preserve"> in more recent years</w:t>
      </w:r>
      <w:r>
        <w:t xml:space="preserve">, it is increasingly evident that </w:t>
      </w:r>
      <w:r w:rsidR="00FA79A9">
        <w:t>there are important determining factors outside of physical testing that contributes to disease. Furthermore, these factors are often multi-layered, interrelated, and influenced by each other.</w:t>
      </w:r>
      <w:r w:rsidR="006038AF">
        <w:t xml:space="preserve"> It i</w:t>
      </w:r>
      <w:r w:rsidR="00A207C5">
        <w:t>s therefore important to see this</w:t>
      </w:r>
      <w:r w:rsidR="006038AF">
        <w:t xml:space="preserve"> “physical, mental, and social well-being” as a </w:t>
      </w:r>
      <w:r w:rsidR="00A207C5">
        <w:t xml:space="preserve">multifactorial, </w:t>
      </w:r>
      <w:r w:rsidR="006038AF">
        <w:t xml:space="preserve">complex, </w:t>
      </w:r>
      <w:r w:rsidR="00A207C5">
        <w:t>self-influencing</w:t>
      </w:r>
      <w:r w:rsidR="006038AF">
        <w:t xml:space="preserve"> model.</w:t>
      </w:r>
      <w:r w:rsidR="004949FA">
        <w:fldChar w:fldCharType="begin"/>
      </w:r>
      <w:r w:rsidR="004949FA">
        <w:instrText xml:space="preserve"> ADDIN ZOTERO_ITEM CSL_CITATION {"citationID":"5aSmPHHs","properties":{"formattedCitation":"\\super 2\\nosupersub{}","plainCitation":"2","noteIndex":0},"citationItems":[{"id":364,"uris":["http://zotero.org/users/4299132/items/92XE6IBY"],"uri":["http://zotero.org/users/4299132/items/92XE6IBY"],"itemData":{"id":364,"type":"article-journal","title":"How should we define health?","container-title":"BMJ","page":"d4163","volume":"343","source":"www.bmj.com","abstract":"&lt;p&gt;The WHO definition of health as complete wellbeing is no longer fit for purpose given the rise of chronic disease. &lt;b&gt;Machteld Huber and colleagues &lt;/b&gt;propose changing the emphasis towards the ability to adapt and self manage in the face of social, physical, and emotional challenges&lt;/p&gt;","DOI":"10.1136/bmj.d4163","ISSN":"0959-8138, 1468-5833","note":"PMID: 21791490","journalAbbreviation":"BMJ","language":"en","author":[{"family":"Huber","given":"Machteld"},{"family":"Knottnerus","given":"J. André"},{"family":"Green","given":"Lawrence"},{"family":"Horst","given":"Henriëtte","dropping-particle":"van der"},{"family":"Jadad","given":"Alejandro R."},{"family":"Kromhout","given":"Daan"},{"family":"Leonard","given":"Brian"},{"family":"Lorig","given":"Kate"},{"family":"Loureiro","given":"Maria Isabel"},{"family":"Meer","given":"Jos W. M.","dropping-particle":"van der"},{"family":"Schnabel","given":"Paul"},{"family":"Smith","given":"Richard"},{"family":"Weel","given":"Chris","dropping-particle":"van"},{"family":"Smid","given":"Henk"}],"issued":{"date-parts":[["2011",7,26]]}}}],"schema":"https://github.com/citation-style-language/schema/raw/master/csl-citation.json"} </w:instrText>
      </w:r>
      <w:r w:rsidR="004949FA">
        <w:fldChar w:fldCharType="separate"/>
      </w:r>
      <w:r w:rsidR="004949FA" w:rsidRPr="004949FA">
        <w:rPr>
          <w:rFonts w:ascii="Calibri" w:hAnsi="Calibri" w:cs="Calibri"/>
          <w:szCs w:val="24"/>
          <w:vertAlign w:val="superscript"/>
        </w:rPr>
        <w:t>2</w:t>
      </w:r>
      <w:r w:rsidR="004949FA">
        <w:fldChar w:fldCharType="end"/>
      </w:r>
    </w:p>
    <w:p w:rsidR="006038AF" w:rsidRDefault="00A207C5" w:rsidP="00952623">
      <w:pPr>
        <w:spacing w:line="480" w:lineRule="auto"/>
      </w:pPr>
      <w:r>
        <w:t xml:space="preserve">The interaction between the “body” and the “mind” is difficult to study mainly due to </w:t>
      </w:r>
      <w:r w:rsidR="00E12FD6">
        <w:t xml:space="preserve">its broad concept and underlying mechanisms. However, there are large population-based studies that can control for confounding variables and establish causation. </w:t>
      </w:r>
      <w:r w:rsidR="00F20D62">
        <w:t>A population-based prospective cohort study conducted by Patten found that phy</w:t>
      </w:r>
      <w:r w:rsidR="00547300">
        <w:t>sical illness is a risk factor for later development of new depressive episodes. This is echoed by similar studies in other populations.</w:t>
      </w:r>
      <w:r w:rsidR="004949FA">
        <w:fldChar w:fldCharType="begin"/>
      </w:r>
      <w:r w:rsidR="004949FA">
        <w:instrText xml:space="preserve"> ADDIN ZOTERO_ITEM CSL_CITATION {"citationID":"Q8Ca6iEW","properties":{"formattedCitation":"\\super 3\\nosupersub{}","plainCitation":"3","noteIndex":0},"citationItems":[{"id":368,"uris":["http://zotero.org/users/4299132/items/TQLMDVRA"],"uri":["http://zotero.org/users/4299132/items/TQLMDVRA"],"itemData":{"id":368,"type":"article-journal","title":"Long-term medical conditions and major depression in a Canadian population study at waves 1 and 2","container-title":"Journal of Affective Disorders","page":"35-41","volume":"63","issue":"1-3","source":"PubMed","abstract":"BACKGROUND: Cross-sectional studies have reported that certain long-term medical conditions are associated with major depression. Here, these associations are explored using a longitudinal analysis.\nMETHODS: Data from the first (1994/95) and second (1996/97) waves of the Canadian National Population Health Survey (NPHS) were utilized. The first wave of the NPHS utilized a probability sample of 17626 members of the Canadian population. Members of this cohort were recontacted by Statistics Canada 2 years later. The Composite International Diagnostic Interview Short Form for Major Depression was used to identify episodes of major depression in both waves of the survey. Subjects free of major depression in the year preceding the 1994/95 survey were selected for inclusion in this analysis. The incidence of new-onset episodes in subjects with and without reported long-term medical conditions was compared.\nRESULTS: Individuals suffering from one or more long-term medical conditions were found to be at increased risk of major depression. Migraine headaches, sinusitis and back problems were the conditions most strongly associated with major depression. Having a long-term medical condition approximately doubled the risk of major depression in this analysis.\nLIMITATIONS: The most important limitation of this study was its reliance on self report data about medical conditions.\nCONCLUSIONS: A large proportion of the general population in Canada suffers from long-term medical conditions. These individuals are at increased risk of major depression. This study suggests an important role for long-term medical conditions in the etiology of major depression.","ISSN":"0165-0327","note":"PMID: 11246078","journalAbbreviation":"J Affect Disord","language":"eng","author":[{"family":"Patten","given":"S. B."}],"issued":{"date-parts":[["2001",3]]}}}],"schema":"https://github.com/citation-style-language/schema/raw/master/csl-citation.json"} </w:instrText>
      </w:r>
      <w:r w:rsidR="004949FA">
        <w:fldChar w:fldCharType="separate"/>
      </w:r>
      <w:r w:rsidR="004949FA" w:rsidRPr="004949FA">
        <w:rPr>
          <w:rFonts w:ascii="Calibri" w:hAnsi="Calibri" w:cs="Calibri"/>
          <w:szCs w:val="24"/>
          <w:vertAlign w:val="superscript"/>
        </w:rPr>
        <w:t>3</w:t>
      </w:r>
      <w:r w:rsidR="004949FA">
        <w:fldChar w:fldCharType="end"/>
      </w:r>
      <w:r w:rsidR="00547300">
        <w:t xml:space="preserve"> Analyses of types of illnesses within the classification of physical illnesses found similar and statistically significant risks.</w:t>
      </w:r>
      <w:r w:rsidR="004949FA">
        <w:fldChar w:fldCharType="begin"/>
      </w:r>
      <w:r w:rsidR="004949FA">
        <w:instrText xml:space="preserve"> ADDIN ZOTERO_ITEM CSL_CITATION {"citationID":"X3PeKcw7","properties":{"formattedCitation":"\\super 3,4\\nosupersub{}","plainCitation":"3,4","noteIndex":0},"citationItems":[{"id":368,"uris":["http://zotero.org/users/4299132/items/TQLMDVRA"],"uri":["http://zotero.org/users/4299132/items/TQLMDVRA"],"itemData":{"id":368,"type":"article-journal","title":"Long-term medical conditions and major depression in a Canadian population study at waves 1 and 2","container-title":"Journal of Affective Disorders","page":"35-41","volume":"63","issue":"1-3","source":"PubMed","abstract":"BACKGROUND: Cross-sectional studies have reported that certain long-term medical conditions are associated with major depression. Here, these associations are explored using a longitudinal analysis.\nMETHODS: Data from the first (1994/95) and second (1996/97) waves of the Canadian National Population Health Survey (NPHS) were utilized. The first wave of the NPHS utilized a probability sample of 17626 members of the Canadian population. Members of this cohort were recontacted by Statistics Canada 2 years later. The Composite International Diagnostic Interview Short Form for Major Depression was used to identify episodes of major depression in both waves of the survey. Subjects free of major depression in the year preceding the 1994/95 survey were selected for inclusion in this analysis. The incidence of new-onset episodes in subjects with and without reported long-term medical conditions was compared.\nRESULTS: Individuals suffering from one or more long-term medical conditions were found to be at increased risk of major depression. Migraine headaches, sinusitis and back problems were the conditions most strongly associated with major depression. Having a long-term medical condition approximately doubled the risk of major depression in this analysis.\nLIMITATIONS: The most important limitation of this study was its reliance on self report data about medical conditions.\nCONCLUSIONS: A large proportion of the general population in Canada suffers from long-term medical conditions. These individuals are at increased risk of major depression. This study suggests an important role for long-term medical conditions in the etiology of major depression.","ISSN":"0165-0327","note":"PMID: 11246078","journalAbbreviation":"J Affect Disord","language":"eng","author":[{"family":"Patten","given":"S. B."}],"issued":{"date-parts":[["2001",3]]}}},{"id":344,"uris":["http://zotero.org/users/4299132/items/N3XUDNJH"],"uri":["http://zotero.org/users/4299132/items/N3XUDNJH"],"itemData":{"id":344,"type":"article-journal","title":"The detection and treatment of depression in the physically ill","container-title":"World Psychiatry","page":"16-20","volume":"9","issue":"1","source":"Wiley Online Library","DOI":"10.1002/j.2051-5545.2010.tb00256.x","ISSN":"2051-5545","language":"en","author":[{"family":"Goldberg","given":"David"}],"issued":{"date-parts":[["2010",2,1]]}}}],"schema":"https://github.com/citation-style-language/schema/raw/master/csl-citation.json"} </w:instrText>
      </w:r>
      <w:r w:rsidR="004949FA">
        <w:fldChar w:fldCharType="separate"/>
      </w:r>
      <w:r w:rsidR="004949FA" w:rsidRPr="004949FA">
        <w:rPr>
          <w:rFonts w:ascii="Calibri" w:hAnsi="Calibri" w:cs="Calibri"/>
          <w:szCs w:val="24"/>
          <w:vertAlign w:val="superscript"/>
        </w:rPr>
        <w:t>3,4</w:t>
      </w:r>
      <w:r w:rsidR="004949FA">
        <w:fldChar w:fldCharType="end"/>
      </w:r>
      <w:r w:rsidR="00547300">
        <w:t xml:space="preserve"> </w:t>
      </w:r>
      <w:r w:rsidR="00851D73">
        <w:t>Goldberg highlighted three pathways in which physical disease can lead to depression.</w:t>
      </w:r>
      <w:r w:rsidR="004949FA">
        <w:fldChar w:fldCharType="begin"/>
      </w:r>
      <w:r w:rsidR="004949FA">
        <w:instrText xml:space="preserve"> ADDIN ZOTERO_ITEM CSL_CITATION {"citationID":"Kg8yWdjv","properties":{"formattedCitation":"\\super 4\\nosupersub{}","plainCitation":"4","noteIndex":0},"citationItems":[{"id":344,"uris":["http://zotero.org/users/4299132/items/N3XUDNJH"],"uri":["http://zotero.org/users/4299132/items/N3XUDNJH"],"itemData":{"id":344,"type":"article-journal","title":"The detection and treatment of depression in the physically ill","container-title":"World Psychiatry","page":"16-20","volume":"9","issue":"1","source":"Wiley Online Library","DOI":"10.1002/j.2051-5545.2010.tb00256.x","ISSN":"2051-5545","language":"en","author":[{"family":"Goldberg","given":"David"}],"issued":{"date-parts":[["2010",2,1]]}}}],"schema":"https://github.com/citation-style-language/schema/raw/master/csl-citation.json"} </w:instrText>
      </w:r>
      <w:r w:rsidR="004949FA">
        <w:fldChar w:fldCharType="separate"/>
      </w:r>
      <w:r w:rsidR="004949FA" w:rsidRPr="004949FA">
        <w:rPr>
          <w:rFonts w:ascii="Calibri" w:hAnsi="Calibri" w:cs="Calibri"/>
          <w:szCs w:val="24"/>
          <w:vertAlign w:val="superscript"/>
        </w:rPr>
        <w:t>4</w:t>
      </w:r>
      <w:r w:rsidR="004949FA">
        <w:fldChar w:fldCharType="end"/>
      </w:r>
      <w:r w:rsidR="00851D73">
        <w:t xml:space="preserve"> There is a proportional relationship between different pains experienced by a patient </w:t>
      </w:r>
      <w:r w:rsidR="00F11A69">
        <w:t>and the prevalence of depression.</w:t>
      </w:r>
      <w:r w:rsidR="004949FA">
        <w:fldChar w:fldCharType="begin"/>
      </w:r>
      <w:r w:rsidR="004949FA">
        <w:instrText xml:space="preserve"> ADDIN ZOTERO_ITEM CSL_CITATION {"citationID":"tD5FV3JL","properties":{"formattedCitation":"\\super 5\\nosupersub{}","plainCitation":"5","noteIndex":0},"citationItems":[{"id":377,"uris":["http://zotero.org/users/4299132/items/6WBIYCVB"],"uri":["http://zotero.org/users/4299132/items/6WBIYCVB"],"itemData":{"id":377,"type":"article-journal","title":"Multiple Pains and Psychiatric Disturbance: An Epidemiologic Investigation","container-title":"Archives of General Psychiatry","page":"239-244","volume":"47","issue":"3","source":"jamanetwork.com","abstract":"&lt;p&gt;• We assessed multiple pain conditions and their association with affective disturbance, somatization, and psychological distress based on questionnaire data from a probability sample of 1016 enrollees of a large health maintenance organization. Respondents were asked about the presence of five pain conditions and were classified empirically in terms of dysfunctional chronic pain status based on pain severity, pain persistence, and painrelated disability days. Logistic regression analyses revealed a highly significant association between number of pain conditions reported and elevated levels of somatization as measured by the Symptom Checklist 90—Revised. Individuals with two or more pain conditions were at elevated risk of an algorithm diagnosis of major depression, while persons with a single pain condition did not differ from persons with no current pain conditions. Number of pain conditions reported was a better predictor of major depression than were important measures of pain experience, including pain severity and pain persistence.&lt;/p&gt;","DOI":"10.1001/archpsyc.1990.01810150039007","ISSN":"0003-990X","shortTitle":"Multiple Pains and Psychiatric Disturbance","journalAbbreviation":"Arch Gen Psychiatry","language":"en","author":[{"family":"Dworkin","given":"Samuel F."},{"family":"Korff","given":"Michael Von"},{"family":"LeResche","given":"Linda"}],"issued":{"date-parts":[["1990",3,1]]}}}],"schema":"https://github.com/citation-style-language/schema/raw/master/csl-citation.json"} </w:instrText>
      </w:r>
      <w:r w:rsidR="004949FA">
        <w:fldChar w:fldCharType="separate"/>
      </w:r>
      <w:r w:rsidR="004949FA" w:rsidRPr="004949FA">
        <w:rPr>
          <w:rFonts w:ascii="Calibri" w:hAnsi="Calibri" w:cs="Calibri"/>
          <w:szCs w:val="24"/>
          <w:vertAlign w:val="superscript"/>
        </w:rPr>
        <w:t>5</w:t>
      </w:r>
      <w:r w:rsidR="004949FA">
        <w:fldChar w:fldCharType="end"/>
      </w:r>
      <w:r w:rsidR="00F11A69">
        <w:t xml:space="preserve"> Also, the perceived risk of disability of physical illnesses </w:t>
      </w:r>
      <w:r w:rsidR="00401A59">
        <w:t>places a mental burden on patients.</w:t>
      </w:r>
      <w:r w:rsidR="00401A59">
        <w:fldChar w:fldCharType="begin"/>
      </w:r>
      <w:r w:rsidR="00401A59">
        <w:instrText xml:space="preserve"> ADDIN ZOTERO_ITEM CSL_CITATION {"citationID":"PJlRBIcB","properties":{"formattedCitation":"\\super 6\\nosupersub{}","plainCitation":"6","noteIndex":0},"citationItems":[{"id":374,"uris":["http://zotero.org/users/4299132/items/I8PGDESZ"],"uri":["http://zotero.org/users/4299132/items/I8PGDESZ"],"itemData":{"id":374,"type":"article-journal","title":"Impairment, disability and handicap as risk factors for depression in old age. The Gospel Oak Project .5.","container-title":"Psychological Medicine","page":"311-321","volume":"27","issue":"2","source":"Web of Science","abstract":"Background. An association between disablement and late-life depression is often reported in cross-sectional studies. However, many lack effect sizes, and do not control for confounding. Therefore, it is difficult both to quantify the overall impact of poor health on depression and to understand which aspects are most salient. Methods. A catchment area survey of all over 65-year-old residents of an electoral district in London, UK, using a population register derived from a door-to-door census was undertaken. Depression was measured using SHORT-CARE, and the consequences of disease classified according to the WHO International Classification of Impairments, Disabilities and Handicaps. Results. Six hundred and fifty-four subjects were interviewed out of an older population of 889. The prevalence of SHORT-CARE pervasive depression was 17%. Impairment, disability and, particularly, handicap were strongly associated with depression. The adjusted odds ratio for depression in the most handicapped quartile compared with the least was 24.2 (8.8-66.6). The population attributable fraction (PAF) for depression attributable to handicap was 0.78. The PAFs for recent life events and female gender were much lower. Handicap explained most of the depression associated with individual impairments and disabilities. Adjusting for handicap abolished or weakened the associations between depression and social support, income, older age, female gender and living alone. Conclusions. Even given some uncertainty in distinguishing handicap and depression as constructs, and the impossibility of deciding direction of causality, it seems likely that handicap is of central significance to late-life depression. Handicap may be more amenable to intervention than either impairment or disability.","DOI":"10.1017/S0033291796004473","ISSN":"0033-2917","note":"WOS:A1997WT61200007","journalAbbreviation":"Psychol. Med.","language":"English","author":[{"family":"Prince","given":"M. J."},{"family":"Harwood","given":"R. H."},{"family":"Blizard","given":"R. A."},{"family":"Thomas","given":"A."},{"family":"Mann","given":"A. H."}],"issued":{"date-parts":[["1997",3]]}}}],"schema":"https://github.com/citation-style-language/schema/raw/master/csl-citation.json"} </w:instrText>
      </w:r>
      <w:r w:rsidR="00401A59">
        <w:fldChar w:fldCharType="separate"/>
      </w:r>
      <w:r w:rsidR="00401A59" w:rsidRPr="00401A59">
        <w:rPr>
          <w:rFonts w:ascii="Calibri" w:hAnsi="Calibri" w:cs="Calibri"/>
          <w:szCs w:val="24"/>
          <w:vertAlign w:val="superscript"/>
        </w:rPr>
        <w:t>6</w:t>
      </w:r>
      <w:r w:rsidR="00401A59">
        <w:fldChar w:fldCharType="end"/>
      </w:r>
      <w:r w:rsidR="00401A59">
        <w:t xml:space="preserve"> This effect is observed in more elderly pati</w:t>
      </w:r>
      <w:r w:rsidR="004A52F6">
        <w:t>ents. Finally, physical changes like a change in</w:t>
      </w:r>
      <w:r w:rsidR="00401A59">
        <w:t xml:space="preserve"> the allostatic load may directly affect an individual’s ability to experience and cope with pain and depression.</w:t>
      </w:r>
      <w:r w:rsidR="00401A59">
        <w:fldChar w:fldCharType="begin"/>
      </w:r>
      <w:r w:rsidR="00401A59">
        <w:instrText xml:space="preserve"> ADDIN ZOTERO_ITEM CSL_CITATION {"citationID":"5grbaBm5","properties":{"formattedCitation":"\\super 7\\nosupersub{}","plainCitation":"7","noteIndex":0},"citationItems":[{"id":380,"uris":["http://zotero.org/users/4299132/items/FMLXA34Q"],"uri":["http://zotero.org/users/4299132/items/FMLXA34Q"],"itemData":{"id":380,"type":"article-journal","title":"Chronic medical conditions and mental health in older people: disability and psychosocial resources mediate specific mental health effects","container-title":"Psychological Medicine","page":"1065-1077","volume":"27","issue":"5","source":"PubMed","abstract":"BACKGROUND: This study describes the differences in psychological distress, disability and psychosocial resources between types of major medical conditions and sensory impairments (collectively denoted as CMCs); and tests whether disability and psychosocial resources mediate CMC-specific mental health effects.\nMETHODS: Data were obtained from a population-based, cross-sectional survey of 5078 non-institutionalized, late middle-aged and older Dutch persons. The predictors were 16 types of CMCs, including all major chronic medical diseases as well as impairment of hearing, vision, and cognition. The outcomes were assessed in terms of psychological distress as measured by the Hospital Anxiety and Depression Scale. Two aspects of disability were measured (namely, physical and role functioning) and also three psychosocial resources (namely, mastery, self-efficacy and social support).\nRESULTS: Level of psychological distress varied across type of CMC. Hearing impairment, neurological disease, vision impairment, and lung and heart disease had particularly strong associations with distress. The level of distress in patients with hearing impairment was 0.45 standard deviation higher than in those without hearing impairment (adjusted for demographics and all other CMCs). Roughly similar patterns of association were found between type of CMC and disability, and also, but to a lesser extent, mastery and self-efficacy. Stepwise multiple regression revealed that type of CMC accounted for 9% of the variance in distress initially, but this fell to 1% after the variance due to disability, mastery and self-efficacy was taken out. Social support was not a mediator. Disability and psychosocial resources accounted for 13% and 14% of the variance in distress, respectively.\nCONCLUSION: These results support the conventional wisdom that it is not the nature of the condition that determines psychological distress, but instead the severity of the disability and loss of psychological resources associated with the condition on the one hand and the psychological characteristics of the patient on the other.","ISSN":"0033-2917","note":"PMID: 9300512","shortTitle":"Chronic medical conditions and mental health in older people","journalAbbreviation":"Psychol Med","language":"eng","author":[{"family":"Ormel","given":"J."},{"family":"Kempen","given":"G. I."},{"family":"Penninx","given":"B. W."},{"family":"Brilman","given":"E. I."},{"family":"Beekman","given":"A. T."},{"family":"Sonderen","given":"E.","non-dropping-particle":"van"}],"issued":{"date-parts":[["1997",9]]}}}],"schema":"https://github.com/citation-style-language/schema/raw/master/csl-citation.json"} </w:instrText>
      </w:r>
      <w:r w:rsidR="00401A59">
        <w:fldChar w:fldCharType="separate"/>
      </w:r>
      <w:r w:rsidR="00401A59" w:rsidRPr="00401A59">
        <w:rPr>
          <w:rFonts w:ascii="Calibri" w:hAnsi="Calibri" w:cs="Calibri"/>
          <w:szCs w:val="24"/>
          <w:vertAlign w:val="superscript"/>
        </w:rPr>
        <w:t>7</w:t>
      </w:r>
      <w:r w:rsidR="00401A59">
        <w:fldChar w:fldCharType="end"/>
      </w:r>
      <w:r w:rsidR="00401A59">
        <w:t xml:space="preserve"> </w:t>
      </w:r>
    </w:p>
    <w:p w:rsidR="00401A59" w:rsidRDefault="004A52F6" w:rsidP="00952623">
      <w:pPr>
        <w:spacing w:line="480" w:lineRule="auto"/>
      </w:pPr>
      <w:r>
        <w:t xml:space="preserve">Similarly, studies have shown that having a poor mental health can also lead to an increased risk in having illnesses that is traditionally viewed as </w:t>
      </w:r>
      <w:r w:rsidR="000309F5">
        <w:t xml:space="preserve">having a more physical cause. Using the example of </w:t>
      </w:r>
      <w:r w:rsidR="000309F5">
        <w:lastRenderedPageBreak/>
        <w:t xml:space="preserve">depression, it can precede </w:t>
      </w:r>
      <w:r w:rsidR="00700EFC">
        <w:t>chronic physical illnesses like coronary heart disease, colorectal cancer, or multiple sclerosis.</w:t>
      </w:r>
      <w:r w:rsidR="00700EFC">
        <w:fldChar w:fldCharType="begin"/>
      </w:r>
      <w:r w:rsidR="00700EFC">
        <w:instrText xml:space="preserve"> ADDIN ZOTERO_ITEM CSL_CITATION {"citationID":"5lA2E23Q","properties":{"formattedCitation":"\\super 8\\nosupersub{}","plainCitation":"8","noteIndex":0},"citationItems":[{"id":342,"uris":["http://zotero.org/users/4299132/items/25NBBP2V"],"uri":["http://zotero.org/users/4299132/items/25NBBP2V"],"itemData":{"id":342,"type":"webpage","title":"The Relationship Between Mental &amp; Physical Health","container-title":"Psych Central","abstract":"People with depression often have worse physical health, as well as worse self-perceived health, than those without depression. Depression and other physical health conditions have separate but additive effects on well-being. For example, the combination of heart disease and depression can cause twice the reduction in social interaction than either condition alone. Patients with both depression and physical health problems are at particular risk: The physical problem can complicate the assessment and treatment of depression by masking or mimicking its symptoms. It can work the other way as well. People with any chronic physical disease tend to feel more psychological distress than do healthy people. Poor physical health brings an increased risk of depression, as do the social and relationship problems that are very common among chronically ill patients. Heart Disease &amp; Depression Go Hand in Hand A 2009 study of patients with severe chronic obstructive pulmonary disease found that","URL":"https://psychcentral.com/lib/the-relationship-between-mental-and-physical-health/","language":"en-US","author":[{"family":"Collingwood","given":"Jane"}],"issued":{"date-parts":[["2016",5,17]]},"accessed":{"date-parts":[["2018",9,28]]}}}],"schema":"https://github.com/citation-style-language/schema/raw/master/csl-citation.json"} </w:instrText>
      </w:r>
      <w:r w:rsidR="00700EFC">
        <w:fldChar w:fldCharType="separate"/>
      </w:r>
      <w:r w:rsidR="00700EFC" w:rsidRPr="00700EFC">
        <w:rPr>
          <w:rFonts w:ascii="Calibri" w:hAnsi="Calibri" w:cs="Calibri"/>
          <w:szCs w:val="24"/>
          <w:vertAlign w:val="superscript"/>
        </w:rPr>
        <w:t>8</w:t>
      </w:r>
      <w:r w:rsidR="00700EFC">
        <w:fldChar w:fldCharType="end"/>
      </w:r>
      <w:r w:rsidR="00700EFC">
        <w:t xml:space="preserve"> </w:t>
      </w:r>
      <w:r w:rsidR="00051D8E">
        <w:t>Schizophrenia</w:t>
      </w:r>
      <w:r w:rsidR="00700EFC">
        <w:t xml:space="preserve"> can </w:t>
      </w:r>
      <w:r w:rsidR="00051D8E">
        <w:t xml:space="preserve">also </w:t>
      </w:r>
      <w:r w:rsidR="00700EFC">
        <w:t xml:space="preserve">be associated </w:t>
      </w:r>
      <w:r w:rsidR="00051D8E">
        <w:t>with morbidity risk in heart disease and respiratory disease.</w:t>
      </w:r>
      <w:r w:rsidR="00051D8E">
        <w:fldChar w:fldCharType="begin"/>
      </w:r>
      <w:r w:rsidR="00051D8E">
        <w:instrText xml:space="preserve"> ADDIN ZOTERO_ITEM CSL_CITATION {"citationID":"QewizcI5","properties":{"formattedCitation":"\\super 4,9\\nosupersub{}","plainCitation":"4,9","noteIndex":0},"citationItems":[{"id":344,"uris":["http://zotero.org/users/4299132/items/N3XUDNJH"],"uri":["http://zotero.org/users/4299132/items/N3XUDNJH"],"itemData":{"id":344,"type":"article-journal","title":"The detection and treatment of depression in the physically ill","container-title":"World Psychiatry","page":"16-20","volume":"9","issue":"1","source":"Wiley Online Library","DOI":"10.1002/j.2051-5545.2010.tb00256.x","ISSN":"2051-5545","language":"en","author":[{"family":"Goldberg","given":"David"}],"issued":{"date-parts":[["2010",2,1]]}}},{"id":338,"uris":["http://zotero.org/users/4299132/items/EXV2Y4D7"],"uri":["http://zotero.org/users/4299132/items/EXV2Y4D7"],"itemData":{"id":338,"type":"webpage","title":"Physical health and mental health","container-title":"Mental Health Foundation","abstract":"Learn about mental health and physical health. Find out how mental health can affect physical health, what lifestyle factors influence this and about long-term health conditions and mental health.","URL":"https://www.mentalhealth.org.uk/a-to-z/p/physical-health-and-mental-health","language":"en","author":[{"literal":"Mental Health Foundation"}],"issued":{"date-parts":[["2015",8,7]]},"accessed":{"date-parts":[["2018",9,28]]}}}],"schema":"https://github.com/citation-style-language/schema/raw/master/csl-citation.json"} </w:instrText>
      </w:r>
      <w:r w:rsidR="00051D8E">
        <w:fldChar w:fldCharType="separate"/>
      </w:r>
      <w:r w:rsidR="00051D8E" w:rsidRPr="00051D8E">
        <w:rPr>
          <w:rFonts w:ascii="Calibri" w:hAnsi="Calibri" w:cs="Calibri"/>
          <w:szCs w:val="24"/>
          <w:vertAlign w:val="superscript"/>
        </w:rPr>
        <w:t>4,9</w:t>
      </w:r>
      <w:r w:rsidR="00051D8E">
        <w:fldChar w:fldCharType="end"/>
      </w:r>
      <w:r w:rsidR="00051D8E">
        <w:t xml:space="preserve"> </w:t>
      </w:r>
    </w:p>
    <w:p w:rsidR="00FA79A9" w:rsidRDefault="00F671CE" w:rsidP="00952623">
      <w:pPr>
        <w:spacing w:line="480" w:lineRule="auto"/>
      </w:pPr>
      <w:r>
        <w:t>The common moderating factor that affects both physical and mental health outcomes is lifestyle. If an ecological model were to be constructed, lifestyle can influence the state of both physical and mental health. Example of lifestyle factors include exercise, which improves phys</w:t>
      </w:r>
      <w:r w:rsidR="00CF4D12">
        <w:t>ical and mental well-bring; diet, and other factors like smoking.</w:t>
      </w:r>
      <w:r w:rsidR="00CF4D12">
        <w:fldChar w:fldCharType="begin"/>
      </w:r>
      <w:r w:rsidR="00F103A3">
        <w:instrText xml:space="preserve"> ADDIN ZOTERO_ITEM CSL_CITATION {"citationID":"cIbOn02k","properties":{"formattedCitation":"\\super 9,10\\nosupersub{}","plainCitation":"9,10","noteIndex":0},"citationItems":[{"id":338,"uris":["http://zotero.org/users/4299132/items/EXV2Y4D7"],"uri":["http://zotero.org/users/4299132/items/EXV2Y4D7"],"itemData":{"id":338,"type":"webpage","title":"Physical health and mental health","container-title":"Mental Health Foundation","abstract":"Learn about mental health and physical health. Find out how mental health can affect physical health, what lifestyle factors influence this and about long-term health conditions and mental health.","URL":"https://www.mentalhealth.org.uk/a-to-z/p/physical-health-and-mental-health","language":"en","author":[{"literal":"Mental Health Foundation"}],"issued":{"date-parts":[["2015",8,7]]},"accessed":{"date-parts":[["2018",9,28]]}}},{"id":356,"uris":["http://zotero.org/users/4299132/items/SVRWK8WA"],"uri":["http://zotero.org/users/4299132/items/SVRWK8WA"],"itemData":{"id":356,"type":"article-journal","title":"Exercise and well-being: a review of mental and physical health benefits associated with physical activity","container-title":"Current Opinion in Psychiatry","page":"189","volume":"18","issue":"2","source":"journals.lww.com","abstract":"Purpose of review This review highlights recent work evaluating the relationship between exercise, physical activity and physical and mental health. Both cross-sectional and longitudinal studies, as well as randomized clinical trials, are included. Special attention is given to physical conditions, including obesity, cancer, cardiovascular disease and sexual dysfunction. Furthermore, studies relating physical activity to depression and other mood states are reviewed. The studies include diverse ethnic populations, including men and women, as well as several age groups (e.g. adolescents, middle-aged and older adults).\n        Recent findings Results of the studies continue to support a growing literature suggesting that exercise, physical activity and physical-activity interventions have beneficial effects across several physical and mental-health outcomes. Generally, participants engaging in regular physical activity display more desirable health outcomes across a variety of physical conditions. Similarly, participants in randomized clinical trials of physical-activity interventions show better health outcomes, including better general and health-related quality of life, better functional capacity and better mood states.\n        Summary The studies have several implications for clinical practice and research. Most work suggests that exercise and physical activity are associated with better quality of life and health outcomes. Therefore, assessment and promotion of exercise and physical activity may be beneficial in achieving desired benefits across several populations. Several limitations were noted, particularly in research involving randomized clinical trials. These trials tend to involve limited sample sizes with short follow-up periods, thus limiting the clinical implications of the benefits associated with physical activity.\n        Abbreviations CAD: coronary artery disease; COPD: chronic obstructive pulmonary disease; CRP: cardiac rehabilitation program; CVD: cardiovascular disease; GMCB: group-mediated cognitive–behavioural; HRQOL: health-related quality of life.","ISSN":"0951-7367","shortTitle":"Exercise and well-being","language":"en-US","author":[{"family":"Penedo","given":"Frank J."},{"family":"Dahn","given":"Jason R."}],"issued":{"date-parts":[["2005",3]]}}}],"schema":"https://github.com/citation-style-language/schema/raw/master/csl-citation.json"} </w:instrText>
      </w:r>
      <w:r w:rsidR="00CF4D12">
        <w:fldChar w:fldCharType="separate"/>
      </w:r>
      <w:r w:rsidR="00F103A3" w:rsidRPr="00F103A3">
        <w:rPr>
          <w:rFonts w:ascii="Calibri" w:hAnsi="Calibri" w:cs="Calibri"/>
          <w:szCs w:val="24"/>
          <w:vertAlign w:val="superscript"/>
        </w:rPr>
        <w:t>9,10</w:t>
      </w:r>
      <w:r w:rsidR="00CF4D12">
        <w:fldChar w:fldCharType="end"/>
      </w:r>
      <w:r w:rsidR="00CF4D12">
        <w:t xml:space="preserve"> Therefore, it is important to realize that, with a shift in the understanding of health, the factors that affect an individual’s quality of life is also redefined according to new research in mental health.</w:t>
      </w:r>
    </w:p>
    <w:p w:rsidR="00381FC8" w:rsidRDefault="00C92F12" w:rsidP="00952623">
      <w:pPr>
        <w:spacing w:line="480" w:lineRule="auto"/>
      </w:pPr>
      <w:r>
        <w:t xml:space="preserve">An important concept in health-related quality of life (QOL) assessment is perceived health. Revuelta </w:t>
      </w:r>
      <w:r w:rsidRPr="00C92F12">
        <w:rPr>
          <w:i/>
        </w:rPr>
        <w:t>et al.</w:t>
      </w:r>
      <w:r>
        <w:t xml:space="preserve"> suggested that perceived mental health can independently predict mortality and morbidity in end-stage renal disease patients.</w:t>
      </w:r>
      <w:r>
        <w:fldChar w:fldCharType="begin"/>
      </w:r>
      <w:r w:rsidR="00F103A3">
        <w:instrText xml:space="preserve"> ADDIN ZOTERO_ITEM CSL_CITATION {"citationID":"zmPXAM31","properties":{"formattedCitation":"\\super 11\\nosupersub{}","plainCitation":"11","noteIndex":0},"citationItems":[{"id":350,"uris":["http://zotero.org/users/4299132/items/SNEWZK4H"],"uri":["http://zotero.org/users/4299132/items/SNEWZK4H"],"itemData":{"id":350,"type":"article-journal","title":"Perceived mental health at the start of dialysis as a predictor of morbidity and mortality in patients with end-stage renal disease (CALVIDIA Study)","container-title":"Nephrology Dialysis Transplantation","page":"2347-2353","volume":"19","issue":"9","source":"academic.oup.com","abstract":"Abstract.  Background. Health-related quality of life may affect morbidity and survival in end-stage renal disease, but it is not clear whether coexisting comor","DOI":"10.1093/ndt/gfh392","ISSN":"0931-0509","journalAbbreviation":"Nephrol Dial Transplant","language":"en","author":[{"family":"López Revuelta","given":"Katia"},{"family":"López","given":"García"},{"family":"J","given":"Fernando"},{"family":"Álvaro Moreno","given":"Fernando","non-dropping-particle":"de"},{"family":"Alonso","given":"Jordi"}],"issued":{"date-parts":[["2004",9,1]]}}}],"schema":"https://github.com/citation-style-language/schema/raw/master/csl-citation.json"} </w:instrText>
      </w:r>
      <w:r>
        <w:fldChar w:fldCharType="separate"/>
      </w:r>
      <w:r w:rsidR="00F103A3" w:rsidRPr="00F103A3">
        <w:rPr>
          <w:rFonts w:ascii="Calibri" w:hAnsi="Calibri" w:cs="Calibri"/>
          <w:szCs w:val="24"/>
          <w:vertAlign w:val="superscript"/>
        </w:rPr>
        <w:t>11</w:t>
      </w:r>
      <w:r>
        <w:fldChar w:fldCharType="end"/>
      </w:r>
      <w:r>
        <w:t xml:space="preserve"> </w:t>
      </w:r>
      <w:r w:rsidR="00E64B8E">
        <w:t xml:space="preserve">The Center for Disease Control (CDC) identified “Healthy Days Measures” to measure </w:t>
      </w:r>
      <w:r w:rsidR="00B3745A">
        <w:t>self-rated general health in order to assess limitations and disparities in public perception.</w:t>
      </w:r>
      <w:r w:rsidR="00B3745A">
        <w:fldChar w:fldCharType="begin"/>
      </w:r>
      <w:r w:rsidR="00F103A3">
        <w:instrText xml:space="preserve"> ADDIN ZOTERO_ITEM CSL_CITATION {"citationID":"h6S9HKSE","properties":{"formattedCitation":"\\super 12\\nosupersub{}","plainCitation":"12","noteIndex":0},"citationItems":[{"id":353,"uris":["http://zotero.org/users/4299132/items/UGFYDGIR"],"uri":["http://zotero.org/users/4299132/items/UGFYDGIR"],"itemData":{"id":353,"type":"article-journal","title":"The Centers for Disease Control and Prevention's Healthy Days Measures – Population tracking of perceived physical and mental health over time","container-title":"Health and Quality of Life Outcomes","page":"37","volume":"1","issue":"1","source":"BioMed Central","abstract":"To promote the health and quality of life of United States residents, the U.S. Department of Health and Human Services' Centers for Disease Control and Prevention (CDC) – with 54 state and territorial health agencies – has supported population surveillance of health-related quality of life (HRQOL). HRQOL was defined as \"perceived physical and mental health over time.\" Commonly-used measures of health status and activity limitation were identified and a set of \"Healthy Days\" HRQOL measures was developed and validated. A core set of these measures (the CDC HRQOL-4) asks about self-rated general health and the number of recent days when a person was physically unhealthy, mentally unhealthy, or limited in usual activities. A summary measure combines physically and mentally unhealthy days. From 1993 to 2001, more than 1.2 million adults responded to the CDC HRQOL-4 in each state-based Behavioral Risk Factor Surveillance System (BRFSS) telephone interview. More than one fifth of all BRFSS respondents also responded to a set of related questions – including five items that assess the presence, main cause and duration of a current activity limitation, and the need for activity-related personal and routine care; as well as five items that ask about recent days of pain, depression, anxiety, sleeplessness, and vitality.","DOI":"10.1186/1477-7525-1-37","ISSN":"1477-7525","journalAbbreviation":"Health and Quality of Life Outcomes","author":[{"family":"Moriarty","given":"David G."},{"family":"Zack","given":"Mathew M."},{"family":"Kobau","given":"Rosemarie"}],"issued":{"date-parts":[["2003",9,2]]}}}],"schema":"https://github.com/citation-style-language/schema/raw/master/csl-citation.json"} </w:instrText>
      </w:r>
      <w:r w:rsidR="00B3745A">
        <w:fldChar w:fldCharType="separate"/>
      </w:r>
      <w:r w:rsidR="00F103A3" w:rsidRPr="00F103A3">
        <w:rPr>
          <w:rFonts w:ascii="Calibri" w:hAnsi="Calibri" w:cs="Calibri"/>
          <w:szCs w:val="24"/>
          <w:vertAlign w:val="superscript"/>
        </w:rPr>
        <w:t>12</w:t>
      </w:r>
      <w:r w:rsidR="00B3745A">
        <w:fldChar w:fldCharType="end"/>
      </w:r>
      <w:r w:rsidR="00B3745A">
        <w:t xml:space="preserve"> These are validated across multiple studies in a range of populations.</w:t>
      </w:r>
      <w:r w:rsidR="00B3745A">
        <w:fldChar w:fldCharType="begin"/>
      </w:r>
      <w:r w:rsidR="00F103A3">
        <w:instrText xml:space="preserve"> ADDIN ZOTERO_ITEM CSL_CITATION {"citationID":"UELScnwH","properties":{"formattedCitation":"\\super 12,13\\nosupersub{}","plainCitation":"12,13","noteIndex":0},"citationItems":[{"id":353,"uris":["http://zotero.org/users/4299132/items/UGFYDGIR"],"uri":["http://zotero.org/users/4299132/items/UGFYDGIR"],"itemData":{"id":353,"type":"article-journal","title":"The Centers for Disease Control and Prevention's Healthy Days Measures – Population tracking of perceived physical and mental health over time","container-title":"Health and Quality of Life Outcomes","page":"37","volume":"1","issue":"1","source":"BioMed Central","abstract":"To promote the health and quality of life of United States residents, the U.S. Department of Health and Human Services' Centers for Disease Control and Prevention (CDC) – with 54 state and territorial health agencies – has supported population surveillance of health-related quality of life (HRQOL). HRQOL was defined as \"perceived physical and mental health over time.\" Commonly-used measures of health status and activity limitation were identified and a set of \"Healthy Days\" HRQOL measures was developed and validated. A core set of these measures (the CDC HRQOL-4) asks about self-rated general health and the number of recent days when a person was physically unhealthy, mentally unhealthy, or limited in usual activities. A summary measure combines physically and mentally unhealthy days. From 1993 to 2001, more than 1.2 million adults responded to the CDC HRQOL-4 in each state-based Behavioral Risk Factor Surveillance System (BRFSS) telephone interview. More than one fifth of all BRFSS respondents also responded to a set of related questions – including five items that assess the presence, main cause and duration of a current activity limitation, and the need for activity-related personal and routine care; as well as five items that ask about recent days of pain, depression, anxiety, sleeplessness, and vitality.","DOI":"10.1186/1477-7525-1-37","ISSN":"1477-7525","journalAbbreviation":"Health and Quality of Life Outcomes","author":[{"family":"Moriarty","given":"David G."},{"family":"Zack","given":"Mathew M."},{"family":"Kobau","given":"Rosemarie"}],"issued":{"date-parts":[["2003",9,2]]}}},{"id":388,"uris":["http://zotero.org/users/4299132/items/SGV8BASZ"],"uri":["http://zotero.org/users/4299132/items/SGV8BASZ"],"itemData":{"id":388,"type":"article-journal","title":"Using the U.S. behavior risk factor surveillance system's health related quality of life survey tool in a Canadian city","container-title":"Canadian Journal of Public Health; Ottawa","page":"67-72","volume":"91","issue":"1","source":"ProQuest","abstract":"As responsibility for health funding shifts from central to local governments, providers find themselves in decision-making roles or asked to give guidance in allocation of resources. To develop a picture of a population's health, data are needed about the effects that illness and disability have on a person's ability to function and thus on quality of life. This study assessed the validity in a Canadian city, of a Health-related Quality of Life (HRQoL) instrument developed by the US Centers for Disease Control and used in the US Behavioral Risk Factor Surveillance System. The HRQoL was administered to a random sample of 1,042 adults. The patterns of association among the HRQoL questions, and the direction of the relationships among independent variables and HRQoL were consistent with those hypothesized. The accumulating evidence for validity of the HRQoL support its use in monitoring the performance of local health initiatives in Canada.","ISSN":"00084263","language":"English","author":[{"family":"Ounpuu","given":"Stephanie"},{"family":"Krueger","given":"Paul"},{"family":"Vermeulen","given":"Marian"},{"family":"Chambers","given":"Larry"}],"issued":{"date-parts":[["2000",2]]}}}],"schema":"https://github.com/citation-style-language/schema/raw/master/csl-citation.json"} </w:instrText>
      </w:r>
      <w:r w:rsidR="00B3745A">
        <w:fldChar w:fldCharType="separate"/>
      </w:r>
      <w:r w:rsidR="00F103A3" w:rsidRPr="00F103A3">
        <w:rPr>
          <w:rFonts w:ascii="Calibri" w:hAnsi="Calibri" w:cs="Calibri"/>
          <w:szCs w:val="24"/>
          <w:vertAlign w:val="superscript"/>
        </w:rPr>
        <w:t>12,13</w:t>
      </w:r>
      <w:r w:rsidR="00B3745A">
        <w:fldChar w:fldCharType="end"/>
      </w:r>
      <w:r w:rsidR="00B3745A">
        <w:t xml:space="preserve"> Notably, these measures are useful as a global indicator of disability in the general population.</w:t>
      </w:r>
      <w:r w:rsidR="00B3745A">
        <w:fldChar w:fldCharType="begin"/>
      </w:r>
      <w:r w:rsidR="00F103A3">
        <w:instrText xml:space="preserve"> ADDIN ZOTERO_ITEM CSL_CITATION {"citationID":"do4KXCsa","properties":{"formattedCitation":"\\super 12\\nosupersub{}","plainCitation":"12","noteIndex":0},"citationItems":[{"id":353,"uris":["http://zotero.org/users/4299132/items/UGFYDGIR"],"uri":["http://zotero.org/users/4299132/items/UGFYDGIR"],"itemData":{"id":353,"type":"article-journal","title":"The Centers for Disease Control and Prevention's Healthy Days Measures – Population tracking of perceived physical and mental health over time","container-title":"Health and Quality of Life Outcomes","page":"37","volume":"1","issue":"1","source":"BioMed Central","abstract":"To promote the health and quality of life of United States residents, the U.S. Department of Health and Human Services' Centers for Disease Control and Prevention (CDC) – with 54 state and territorial health agencies – has supported population surveillance of health-related quality of life (HRQOL). HRQOL was defined as \"perceived physical and mental health over time.\" Commonly-used measures of health status and activity limitation were identified and a set of \"Healthy Days\" HRQOL measures was developed and validated. A core set of these measures (the CDC HRQOL-4) asks about self-rated general health and the number of recent days when a person was physically unhealthy, mentally unhealthy, or limited in usual activities. A summary measure combines physically and mentally unhealthy days. From 1993 to 2001, more than 1.2 million adults responded to the CDC HRQOL-4 in each state-based Behavioral Risk Factor Surveillance System (BRFSS) telephone interview. More than one fifth of all BRFSS respondents also responded to a set of related questions – including five items that assess the presence, main cause and duration of a current activity limitation, and the need for activity-related personal and routine care; as well as five items that ask about recent days of pain, depression, anxiety, sleeplessness, and vitality.","DOI":"10.1186/1477-7525-1-37","ISSN":"1477-7525","journalAbbreviation":"Health and Quality of Life Outcomes","author":[{"family":"Moriarty","given":"David G."},{"family":"Zack","given":"Mathew M."},{"family":"Kobau","given":"Rosemarie"}],"issued":{"date-parts":[["2003",9,2]]}}}],"schema":"https://github.com/citation-style-language/schema/raw/master/csl-citation.json"} </w:instrText>
      </w:r>
      <w:r w:rsidR="00B3745A">
        <w:fldChar w:fldCharType="separate"/>
      </w:r>
      <w:r w:rsidR="00F103A3" w:rsidRPr="00F103A3">
        <w:rPr>
          <w:rFonts w:ascii="Calibri" w:hAnsi="Calibri" w:cs="Calibri"/>
          <w:szCs w:val="24"/>
          <w:vertAlign w:val="superscript"/>
        </w:rPr>
        <w:t>12</w:t>
      </w:r>
      <w:r w:rsidR="00B3745A">
        <w:fldChar w:fldCharType="end"/>
      </w:r>
      <w:r>
        <w:t xml:space="preserve"> </w:t>
      </w:r>
    </w:p>
    <w:p w:rsidR="000C1E7D" w:rsidRDefault="00F103A3" w:rsidP="00952623">
      <w:pPr>
        <w:spacing w:line="480" w:lineRule="auto"/>
      </w:pPr>
      <w:r>
        <w:t xml:space="preserve">Considering the interaction of mental health and physical health mentioned above, it is </w:t>
      </w:r>
      <w:r w:rsidR="00AC4838">
        <w:t xml:space="preserve">important to investigate the correlation between perceived mental health and perceived physical health due to a lack of research in this direct area. Having knowledge in this area will pave way for comorbidity studies between physical diseases and mental diseases, helping to build a more holistic healthcare. Given the acknowledgement of association between the two factors, the primary goal of this study is to determine the extent of correlation between </w:t>
      </w:r>
      <w:r w:rsidR="005015D7">
        <w:t xml:space="preserve">the number of days a person feels unwell in mental health </w:t>
      </w:r>
      <w:r w:rsidR="00AC4838">
        <w:t>and physical health.</w:t>
      </w:r>
      <w:r w:rsidR="00000AA9">
        <w:t xml:space="preserve"> What is the extent of correlation explained by a Simple Linear Regression (SLR) model used to predict </w:t>
      </w:r>
      <w:r w:rsidR="005015D7">
        <w:t xml:space="preserve">the number of days unwell from mental health and </w:t>
      </w:r>
      <w:r w:rsidR="00000AA9">
        <w:t xml:space="preserve">from physical health? The null </w:t>
      </w:r>
      <w:r w:rsidR="00000AA9">
        <w:lastRenderedPageBreak/>
        <w:t>hypothesis (H</w:t>
      </w:r>
      <w:r w:rsidR="00000AA9">
        <w:rPr>
          <w:vertAlign w:val="subscript"/>
        </w:rPr>
        <w:t>0</w:t>
      </w:r>
      <w:r w:rsidR="00000AA9">
        <w:t xml:space="preserve">) is there is no linear model that can predict </w:t>
      </w:r>
      <w:r w:rsidR="005015D7">
        <w:t>bad mental health days based on bad physical health days. The alternative hypothesis (H</w:t>
      </w:r>
      <w:r w:rsidR="005015D7">
        <w:rPr>
          <w:vertAlign w:val="subscript"/>
        </w:rPr>
        <w:t>a</w:t>
      </w:r>
      <w:r w:rsidR="005015D7">
        <w:t>) is that there is a linear model that can predict</w:t>
      </w:r>
      <w:r w:rsidR="00000AA9">
        <w:t xml:space="preserve"> </w:t>
      </w:r>
      <w:r w:rsidR="005015D7">
        <w:t>bad mental health days based on bad physical health days.</w:t>
      </w:r>
    </w:p>
    <w:p w:rsidR="00296E79" w:rsidRPr="004F4E8F" w:rsidRDefault="00296E79" w:rsidP="00952623">
      <w:pPr>
        <w:spacing w:line="480" w:lineRule="auto"/>
      </w:pPr>
    </w:p>
    <w:p w:rsidR="004F4E8F" w:rsidRPr="00296E79" w:rsidRDefault="004F4E8F" w:rsidP="00952623">
      <w:pPr>
        <w:spacing w:line="480" w:lineRule="auto"/>
        <w:rPr>
          <w:b/>
          <w:sz w:val="24"/>
        </w:rPr>
      </w:pPr>
      <w:r w:rsidRPr="00296E79">
        <w:rPr>
          <w:b/>
          <w:sz w:val="24"/>
        </w:rPr>
        <w:t>Methods</w:t>
      </w:r>
    </w:p>
    <w:p w:rsidR="005015D7" w:rsidRPr="005015D7" w:rsidRDefault="00BF3FD7" w:rsidP="00952623">
      <w:pPr>
        <w:spacing w:line="480" w:lineRule="auto"/>
      </w:pPr>
      <w:r>
        <w:t>Secondary data wa</w:t>
      </w:r>
      <w:r w:rsidR="005015D7">
        <w:t xml:space="preserve">s collected from the 2017 Behavioral Risk Factor Surveillance System (BRFSS) </w:t>
      </w:r>
      <w:r w:rsidR="00656160">
        <w:t>Questionnaire</w:t>
      </w:r>
      <w:r w:rsidR="005015D7">
        <w:t xml:space="preserve"> accessed from </w:t>
      </w:r>
      <w:r w:rsidRPr="00BF3FD7">
        <w:t>https://www.cdc.gov/brfss/questionnaires/pdf-ques/2017_BRFSS_Pub_Ques_508_tagged.pdf</w:t>
      </w:r>
      <w:r w:rsidR="005015D7">
        <w:t>.</w:t>
      </w:r>
      <w:r>
        <w:t xml:space="preserve"> Specific sampling methods, data processing, and data weighting procedures are described in its guidebook.</w:t>
      </w:r>
      <w:r>
        <w:fldChar w:fldCharType="begin"/>
      </w:r>
      <w:r>
        <w:instrText xml:space="preserve"> ADDIN ZOTERO_ITEM CSL_CITATION {"citationID":"6IzavjN1","properties":{"formattedCitation":"\\super 14,15\\nosupersub{}","plainCitation":"14,15","noteIndex":0},"citationItems":[{"id":363,"uris":["http://zotero.org/users/4299132/items/QZV534WV"],"uri":["http://zotero.org/users/4299132/items/QZV534WV"],"itemData":{"id":363,"type":"article","title":"OVERVIEW: BRFSS 2017","publisher":"Centers for Disease Control and Prevention","URL":"https://www.cdc.gov/brfss/annual_data/2017/pdf/overview-2017-508.pdf","author":[{"literal":"Behavioral Risk Factor Surveillance System"}],"issued":{"date-parts":[["2018",7,16]]},"accessed":{"date-parts":[["2018",9,27]]}}},{"id":362,"uris":["http://zotero.org/users/4299132/items/BNQQ3ERM"],"uri":["http://zotero.org/users/4299132/items/BNQQ3ERM"],"itemData":{"id":362,"type":"article","title":"LLCP 2017 Codebook Report Overall version data weighted with _LLCPWT Behavioral Risk Factor Surveillance System","publisher":"Centers for Disease Control and Prevention","URL":"https://www.cdc.gov/brfss/annual_data/2017/pdf/codebook17_llcp-508.pdf","author":[{"literal":"Behavioral Risk Factor Surveillance System"}],"issued":{"date-parts":[["2018",9,4]]},"accessed":{"date-parts":[["2018",9,27]]}}}],"schema":"https://github.com/citation-style-language/schema/raw/master/csl-citation.json"} </w:instrText>
      </w:r>
      <w:r>
        <w:fldChar w:fldCharType="separate"/>
      </w:r>
      <w:r w:rsidRPr="00BF3FD7">
        <w:rPr>
          <w:rFonts w:ascii="Calibri" w:hAnsi="Calibri" w:cs="Calibri"/>
          <w:szCs w:val="24"/>
          <w:vertAlign w:val="superscript"/>
        </w:rPr>
        <w:t>14,15</w:t>
      </w:r>
      <w:r>
        <w:fldChar w:fldCharType="end"/>
      </w:r>
      <w:r>
        <w:t xml:space="preserve"> Data was taken from the core questionnaire administered to all 53 states and territories. Data collection </w:t>
      </w:r>
      <w:r w:rsidR="00795F9F">
        <w:t>methods consist</w:t>
      </w:r>
      <w:r>
        <w:t xml:space="preserve"> of landline and cellphone interviews </w:t>
      </w:r>
      <w:r w:rsidR="00795F9F">
        <w:t>using approved procedures highlighted in the overview. Demographic adjustments and geographic stratification were conducted as described.</w:t>
      </w:r>
      <w:r w:rsidR="00795F9F">
        <w:fldChar w:fldCharType="begin"/>
      </w:r>
      <w:r w:rsidR="00795F9F">
        <w:instrText xml:space="preserve"> ADDIN ZOTERO_ITEM CSL_CITATION {"citationID":"4r5BP0dr","properties":{"formattedCitation":"\\super 14\\nosupersub{}","plainCitation":"14","noteIndex":0},"citationItems":[{"id":363,"uris":["http://zotero.org/users/4299132/items/QZV534WV"],"uri":["http://zotero.org/users/4299132/items/QZV534WV"],"itemData":{"id":363,"type":"article","title":"OVERVIEW: BRFSS 2017","publisher":"Centers for Disease Control and Prevention","URL":"https://www.cdc.gov/brfss/annual_data/2017/pdf/overview-2017-508.pdf","author":[{"literal":"Behavioral Risk Factor Surveillance System"}],"issued":{"date-parts":[["2018",7,16]]},"accessed":{"date-parts":[["2018",9,27]]}}}],"schema":"https://github.com/citation-style-language/schema/raw/master/csl-citation.json"} </w:instrText>
      </w:r>
      <w:r w:rsidR="00795F9F">
        <w:fldChar w:fldCharType="separate"/>
      </w:r>
      <w:r w:rsidR="00795F9F" w:rsidRPr="00795F9F">
        <w:rPr>
          <w:rFonts w:ascii="Calibri" w:hAnsi="Calibri" w:cs="Calibri"/>
          <w:szCs w:val="24"/>
          <w:vertAlign w:val="superscript"/>
        </w:rPr>
        <w:t>14</w:t>
      </w:r>
      <w:r w:rsidR="00795F9F">
        <w:fldChar w:fldCharType="end"/>
      </w:r>
      <w:r w:rsidR="00795F9F">
        <w:t xml:space="preserve"> </w:t>
      </w:r>
      <w:r w:rsidR="00D87DC1">
        <w:t>To clean the data for analysis, none, not sure, refused, and missing values for both mental health days and physical health days were eliminated. Only those with a value between 1 and 30 days were used according to the study design.</w:t>
      </w:r>
    </w:p>
    <w:p w:rsidR="00795F9F" w:rsidRDefault="00795F9F" w:rsidP="00952623">
      <w:pPr>
        <w:spacing w:line="480" w:lineRule="auto"/>
      </w:pPr>
      <w:r>
        <w:t xml:space="preserve">IBM SPSS version 25 </w:t>
      </w:r>
      <w:r w:rsidR="001656C4">
        <w:t>was</w:t>
      </w:r>
      <w:r>
        <w:t xml:space="preserve"> used to conduct all statistical analyses.</w:t>
      </w:r>
      <w:r w:rsidR="001656C4">
        <w:t xml:space="preserve"> As part of generating primary descriptive statistics, the mean, 95% confidence interval</w:t>
      </w:r>
      <w:r w:rsidR="00D87DC1">
        <w:t xml:space="preserve"> (CI)</w:t>
      </w:r>
      <w:r w:rsidR="001656C4">
        <w:t>, standard deviation, minimum, and maximum were generated using the explore function. To test normality, Kolmogorov-Smirnov test, Shapiro-Wilk test, Q-Q plot, and box plot of the variables were generated. A scatter plot with Pearson’s r and best fit line were generated.</w:t>
      </w:r>
    </w:p>
    <w:p w:rsidR="001656C4" w:rsidRDefault="00D87DC1" w:rsidP="00952623">
      <w:pPr>
        <w:spacing w:line="480" w:lineRule="auto"/>
      </w:pPr>
      <w:r>
        <w:t xml:space="preserve">A primary SLR was done using mental health days as the independent variable and physical health days as the dependent variable. Estimates, </w:t>
      </w:r>
      <w:r w:rsidR="007A3ED6">
        <w:t>CI, Durbin-Watson, m</w:t>
      </w:r>
      <w:r>
        <w:t xml:space="preserve">odel fit, </w:t>
      </w:r>
      <w:r w:rsidR="007A3ED6">
        <w:t>case-wise diagnostics, and d</w:t>
      </w:r>
      <w:r>
        <w:t xml:space="preserve">escriptives were generated. </w:t>
      </w:r>
      <w:r w:rsidR="007A3ED6">
        <w:t>Two plots, ZPRED over ZRESID, SRESID over ZPRED, were</w:t>
      </w:r>
      <w:r>
        <w:t xml:space="preserve"> calculated, as well as standardized residuals, Cook’s distance, </w:t>
      </w:r>
      <w:r w:rsidR="007A3ED6">
        <w:t>s</w:t>
      </w:r>
      <w:r>
        <w:t>tandardized DfBetas</w:t>
      </w:r>
      <w:r w:rsidR="007A3ED6">
        <w:t>, and standardized DfFit.</w:t>
      </w:r>
    </w:p>
    <w:p w:rsidR="00490661" w:rsidRDefault="007A3ED6" w:rsidP="00952623">
      <w:pPr>
        <w:spacing w:line="480" w:lineRule="auto"/>
      </w:pPr>
      <w:r>
        <w:lastRenderedPageBreak/>
        <w:t>The model was ass</w:t>
      </w:r>
      <w:r w:rsidR="0093671F">
        <w:t xml:space="preserve">essed using diagnostics to determine the assumptions of SLR. Influential values were assessed using Cook’s d, ZDFfit, ZDFbeta, and ZResid. The model will be redone if changes were made to the dataset. </w:t>
      </w:r>
    </w:p>
    <w:p w:rsidR="00296E79" w:rsidRDefault="00296E79" w:rsidP="00952623">
      <w:pPr>
        <w:spacing w:line="480" w:lineRule="auto"/>
      </w:pPr>
    </w:p>
    <w:p w:rsidR="0093671F" w:rsidRPr="00296E79" w:rsidRDefault="004F4E8F" w:rsidP="00952623">
      <w:pPr>
        <w:spacing w:line="480" w:lineRule="auto"/>
        <w:rPr>
          <w:b/>
          <w:sz w:val="24"/>
        </w:rPr>
      </w:pPr>
      <w:r w:rsidRPr="00296E79">
        <w:rPr>
          <w:b/>
          <w:sz w:val="24"/>
        </w:rPr>
        <w:t>Results</w:t>
      </w:r>
    </w:p>
    <w:p w:rsidR="003713E1" w:rsidRDefault="003713E1" w:rsidP="00952623">
      <w:pPr>
        <w:spacing w:line="480" w:lineRule="auto"/>
      </w:pPr>
      <w:r>
        <w:t>450642 data points were downloaded from the 2017 BRFSS Questionnaire. Filtering for mental health days (MENTHLTH) and physical health days (PHYSHLTH) between 1 and 30, 79668 cases were selected for analysis</w:t>
      </w:r>
      <w:r w:rsidR="00FA1638">
        <w:t xml:space="preserve"> (Table 1)</w:t>
      </w:r>
      <w:r>
        <w:t xml:space="preserve">. </w:t>
      </w:r>
      <w:r w:rsidR="004D3210">
        <w:t xml:space="preserve">For MENTHLTH, the mean is 12.85 </w:t>
      </w:r>
      <w:r w:rsidR="00D1677B">
        <w:t xml:space="preserve">days </w:t>
      </w:r>
      <w:r w:rsidR="006B3005">
        <w:t>(95%CI [</w:t>
      </w:r>
      <w:r w:rsidR="004D3210">
        <w:t>12.77</w:t>
      </w:r>
      <w:r w:rsidR="006B3005">
        <w:t>,</w:t>
      </w:r>
      <w:r w:rsidR="004D3210">
        <w:t xml:space="preserve"> 12.92</w:t>
      </w:r>
      <w:r w:rsidR="006B3005">
        <w:t>]</w:t>
      </w:r>
      <w:r w:rsidR="004D3210">
        <w:t xml:space="preserve">), variance is 118.566, standard deviation is 10.889, minimum is 1, and maximum is 30. For PHYSHLTH, the mean is 12.80 </w:t>
      </w:r>
      <w:r w:rsidR="00D1677B">
        <w:t xml:space="preserve">days </w:t>
      </w:r>
      <w:r w:rsidR="006B3005">
        <w:t>(95%CI [</w:t>
      </w:r>
      <w:r w:rsidR="004D3210">
        <w:t>12.72</w:t>
      </w:r>
      <w:r w:rsidR="006B3005">
        <w:t xml:space="preserve">, </w:t>
      </w:r>
      <w:r w:rsidR="004D3210">
        <w:t>12.88</w:t>
      </w:r>
      <w:r w:rsidR="006B3005">
        <w:t>]</w:t>
      </w:r>
      <w:r w:rsidR="004D3210">
        <w:t>), variance is 127.598, standard deviation is 11.296, minimum is 1, and maximum is 30</w:t>
      </w:r>
      <w:r w:rsidR="00FA1638">
        <w:t xml:space="preserve"> (Table 2)</w:t>
      </w:r>
      <w:r w:rsidR="004D3210">
        <w:t>.</w:t>
      </w:r>
    </w:p>
    <w:p w:rsidR="004D3210" w:rsidRDefault="004D3210" w:rsidP="00952623">
      <w:pPr>
        <w:spacing w:line="480" w:lineRule="auto"/>
      </w:pPr>
      <w:r>
        <w:t>For tests of normality, the KS-test statistic</w:t>
      </w:r>
      <w:r w:rsidR="00FA1638">
        <w:t xml:space="preserve"> for MENTHLTH is 0.184 (Sig. 0.001), and PHYSHLTH 0.198 (Sig. 0.001) (Table 3). A visual inspection of the histogram, Q-Q plot, and box plot shows no normality for both variables</w:t>
      </w:r>
      <w:r w:rsidR="00D1677B">
        <w:t xml:space="preserve"> (Appendix B)</w:t>
      </w:r>
      <w:r w:rsidR="00FA1638">
        <w:t>.</w:t>
      </w:r>
      <w:r w:rsidR="00D1677B">
        <w:t xml:space="preserve"> A scatter plot of PHYSHLTH over MENTHLTH shows a best fit line with the equation y = 7.05 + 0.45x. The R</w:t>
      </w:r>
      <w:r w:rsidR="00D1677B">
        <w:rPr>
          <w:vertAlign w:val="superscript"/>
        </w:rPr>
        <w:t>2</w:t>
      </w:r>
      <w:r w:rsidR="00D1677B">
        <w:t xml:space="preserve"> linear is 0.186.</w:t>
      </w:r>
    </w:p>
    <w:p w:rsidR="00072708" w:rsidRPr="006B3005" w:rsidRDefault="00072708" w:rsidP="00952623">
      <w:pPr>
        <w:spacing w:line="480" w:lineRule="auto"/>
      </w:pPr>
      <w:r>
        <w:t xml:space="preserve">A significant SLR model was constructed to predict PHYSHLTH using MENTHLTH [F(1, 79666) = 18231.918, p&lt;0.001] (Table 4). The linear model explains the data significantly better than the mean. </w:t>
      </w:r>
      <w:r w:rsidR="0032611F">
        <w:t xml:space="preserve">Assuming we are looking for a p-value of 0.05, the critical value for an F statistic with 1 and 79666 degrees of freedom is 5.024. The F statistic is larger than the critical F; the model is significantly better than the mean at explaining PHYSHLTH based on MENTHLTH. In this case the model explained 18.6% of the variability of PHYSHLTH. </w:t>
      </w:r>
      <w:r w:rsidR="006B3005">
        <w:t>The slope (b</w:t>
      </w:r>
      <w:r w:rsidR="006B3005">
        <w:rPr>
          <w:vertAlign w:val="subscript"/>
        </w:rPr>
        <w:t>1</w:t>
      </w:r>
      <w:r w:rsidR="006B3005">
        <w:t xml:space="preserve">= 0.448) is significantly different from zero (t = 135.026, p&lt;0.001). The true slope of the model falls between 0.441 and 0.454 (95%CI [0.441, 0.454]). The variable, MENTHLTH, is a significant contributor to the model. For every additional day of mental health </w:t>
      </w:r>
      <w:r w:rsidR="006B3005">
        <w:lastRenderedPageBreak/>
        <w:t xml:space="preserve">days unwell reported, </w:t>
      </w:r>
      <w:r w:rsidR="00B12957">
        <w:t>the days of physical health days unwell reported increases by 0.448 (Table 4).</w:t>
      </w:r>
      <w:r w:rsidR="001B6E29">
        <w:t xml:space="preserve"> This relationship is positively linear.</w:t>
      </w:r>
    </w:p>
    <w:p w:rsidR="00D1677B" w:rsidRDefault="00B12957" w:rsidP="00952623">
      <w:pPr>
        <w:spacing w:line="480" w:lineRule="auto"/>
      </w:pPr>
      <w:r>
        <w:t>The regression equation is Y = 7.048 + 0.448x</w:t>
      </w:r>
      <w:r>
        <w:rPr>
          <w:vertAlign w:val="subscript"/>
        </w:rPr>
        <w:t>MENTHLTH</w:t>
      </w:r>
      <w:r>
        <w:t xml:space="preserve">. </w:t>
      </w:r>
    </w:p>
    <w:p w:rsidR="00B12957" w:rsidRDefault="00D2299F" w:rsidP="00952623">
      <w:pPr>
        <w:spacing w:line="480" w:lineRule="auto"/>
      </w:pPr>
      <w:r>
        <w:t xml:space="preserve">Checking for assumptions, independence of observations is assumed through study design. Independence of errors is shown through Durbin-Watson (1.946). Linearity is checked in scatter plot, no visible curve is observed (Graph 1). </w:t>
      </w:r>
      <w:r w:rsidR="00B8362C">
        <w:t>Homoscedasticity assumption is passed through Steensma-Squint test with no visible heteroscedasticity observed (Graph 2). The assumption for normally distributed errors were violated, showing a general bimodal distribution (Graph 3).</w:t>
      </w:r>
    </w:p>
    <w:p w:rsidR="000C1E7D" w:rsidRDefault="004D1DAA" w:rsidP="00952623">
      <w:pPr>
        <w:spacing w:line="480" w:lineRule="auto"/>
      </w:pPr>
      <w:r>
        <w:t>Checking for influential values using Cook’s d, Standardized Residuals, Standardized DFBetas, Standardized DFFits, and Leverage Value returned no outstanding observations. No observation was found to have undue influence on the model or the sample (Table 5). Since no observations was removed, the regression was not redone.</w:t>
      </w:r>
    </w:p>
    <w:p w:rsidR="00296E79" w:rsidRPr="000C1E7D" w:rsidRDefault="00296E79" w:rsidP="00952623">
      <w:pPr>
        <w:spacing w:line="480" w:lineRule="auto"/>
      </w:pPr>
    </w:p>
    <w:p w:rsidR="00295C8A" w:rsidRPr="00296E79" w:rsidRDefault="004F4E8F" w:rsidP="00952623">
      <w:pPr>
        <w:spacing w:line="480" w:lineRule="auto"/>
        <w:rPr>
          <w:b/>
          <w:sz w:val="24"/>
        </w:rPr>
      </w:pPr>
      <w:r w:rsidRPr="00296E79">
        <w:rPr>
          <w:b/>
          <w:sz w:val="24"/>
        </w:rPr>
        <w:t>Discussion</w:t>
      </w:r>
    </w:p>
    <w:p w:rsidR="004D1DAA" w:rsidRDefault="008B4EAD" w:rsidP="00952623">
      <w:pPr>
        <w:spacing w:line="480" w:lineRule="auto"/>
      </w:pPr>
      <w:r>
        <w:t>This analysis was successful in creating a statistically significant linear model of the correlation from MENTHLTH and PHYSHLTH data collected from the BRFSS survey. Several data manipulation methods were used to filter research-specific data. Through this process, many data points were eliminated, and this may pose a problem for the generalizability of the resulting model. Considering our research question, which compares the days unwell in MENTHLTH and PHYSHLTH, it makes sense to eliminate answers that are missing, don’t know, or refused. Those with zero number of days unwell was also eliminated, which consisted 60% (276509 entries) of all values.</w:t>
      </w:r>
      <w:r>
        <w:fldChar w:fldCharType="begin"/>
      </w:r>
      <w:r>
        <w:instrText xml:space="preserve"> ADDIN ZOTERO_ITEM CSL_CITATION {"citationID":"cXOSQjIy","properties":{"formattedCitation":"\\super 15\\nosupersub{}","plainCitation":"15","noteIndex":0},"citationItems":[{"id":362,"uris":["http://zotero.org/users/4299132/items/BNQQ3ERM"],"uri":["http://zotero.org/users/4299132/items/BNQQ3ERM"],"itemData":{"id":362,"type":"article","title":"LLCP 2017 Codebook Report Overall version data weighted with _LLCPWT Behavioral Risk Factor Surveillance System","publisher":"Centers for Disease Control and Prevention","URL":"https://www.cdc.gov/brfss/annual_data/2017/pdf/codebook17_llcp-508.pdf","author":[{"literal":"Behavioral Risk Factor Surveillance System"}],"issued":{"date-parts":[["2018",9,4]]},"accessed":{"date-parts":[["2018",9,27]]}}}],"schema":"https://github.com/citation-style-language/schema/raw/master/csl-citation.json"} </w:instrText>
      </w:r>
      <w:r>
        <w:fldChar w:fldCharType="separate"/>
      </w:r>
      <w:r w:rsidRPr="008B4EAD">
        <w:rPr>
          <w:rFonts w:ascii="Calibri" w:hAnsi="Calibri" w:cs="Calibri"/>
          <w:szCs w:val="24"/>
          <w:vertAlign w:val="superscript"/>
        </w:rPr>
        <w:t>15</w:t>
      </w:r>
      <w:r>
        <w:fldChar w:fldCharType="end"/>
      </w:r>
      <w:r w:rsidR="00234E8D">
        <w:t xml:space="preserve"> These were eliminated to ensure that </w:t>
      </w:r>
      <w:r w:rsidR="00234E8D">
        <w:lastRenderedPageBreak/>
        <w:t>the correlation was focused on those people that feels unwell, but in the process we reduced our ability to inference to those that felt fine for the duration of the survey question.</w:t>
      </w:r>
    </w:p>
    <w:p w:rsidR="00E239C0" w:rsidRDefault="00E239C0" w:rsidP="00952623">
      <w:pPr>
        <w:spacing w:line="480" w:lineRule="auto"/>
      </w:pPr>
      <w:r>
        <w:t>Neither of the variables were distributed normally. This is confirmed through the KS-test as well as visual inspection of the histogram, Q-Q plot, and box plot. It is not distributed normally. This suggests some concern regarding the design of the questions, since the BRFSS Questionnaire surveys a large, weighted, national sample.</w:t>
      </w:r>
    </w:p>
    <w:p w:rsidR="00E239C0" w:rsidRDefault="007C6601" w:rsidP="00952623">
      <w:pPr>
        <w:spacing w:line="480" w:lineRule="auto"/>
      </w:pPr>
      <w:r>
        <w:t>A significant SLR model was constructed to predict PHYSHLTH using MENTHLTH. For every additional day an individual feels unwell in mental health, he/she may feel 0.448 days unwell physically. This not only agrees with literature in establishing a correlation between perceived mental health and perceived physical health, we can predict using a SLR based on the extent of correlation found. MENTHLTH explains 18.6% of the variability in PHYSHLTH.</w:t>
      </w:r>
    </w:p>
    <w:p w:rsidR="007C6601" w:rsidRDefault="00827B20" w:rsidP="00952623">
      <w:pPr>
        <w:spacing w:line="480" w:lineRule="auto"/>
      </w:pPr>
      <w:r>
        <w:t>To ensure the validity of our model, assumptions were checked using diagnostic tests. Durbin-Watson test suggested that our independence of errors is normal. No visible curve relation is observed in scatter plot (Graph 1). The assumption of homoscedasticity is also done visually, with no visible heteroscedasticity trend observed (Graph 2). However, plotting the regression standard residual, we see a general bimodal distribution (Graph 3).  This suggests that there is some relationship unaccounted for that bisects our samples into two different groups. This indicates a great need for future research to see why there is a difference in low number of days unwell and high number of days unwell. For the sake of comparison, individuals who answered zero days of unwell for either MENTHLTH or PHYSHLTH can be added.</w:t>
      </w:r>
      <w:r w:rsidR="002B1F71">
        <w:t xml:space="preserve"> This will form a more complete picture of those who were surveyed.</w:t>
      </w:r>
    </w:p>
    <w:p w:rsidR="00E239C0" w:rsidRPr="00FB6F16" w:rsidRDefault="002B1F71" w:rsidP="00952623">
      <w:pPr>
        <w:spacing w:line="480" w:lineRule="auto"/>
      </w:pPr>
      <w:r>
        <w:t xml:space="preserve">After calculating for influential values, no outstanding observations were found, whether it is sorted ascending or descending. This suggests that the sample’s distribution is not significantly affected by any one outliers. </w:t>
      </w:r>
    </w:p>
    <w:p w:rsidR="00072708" w:rsidRPr="00CA3EAA" w:rsidRDefault="002B1F71" w:rsidP="00952623">
      <w:pPr>
        <w:spacing w:line="480" w:lineRule="auto"/>
      </w:pPr>
      <w:r>
        <w:lastRenderedPageBreak/>
        <w:t>Another consideration for this study is the l</w:t>
      </w:r>
      <w:r w:rsidR="00E239C0">
        <w:t>arge population size</w:t>
      </w:r>
      <w:r>
        <w:t xml:space="preserve"> surveyed by BRFSS. Through protocol outlined online, the data is geographically and demographically adjusted. We can assume that it gives a fair representation of the United States population, but to make further investigations this must be confirmed. </w:t>
      </w:r>
      <w:r w:rsidR="00CA3EAA">
        <w:t>With large datasets, we can also do sub-group analyses without the fear of reducing group representation. This creates exciting opportunities for further research, especially looking at trends across geographic regions or demographic cohorts.</w:t>
      </w:r>
    </w:p>
    <w:p w:rsidR="004D3210" w:rsidRDefault="00234E8D" w:rsidP="00952623">
      <w:pPr>
        <w:spacing w:line="480" w:lineRule="auto"/>
      </w:pPr>
      <w:r>
        <w:t>The nature of our variable is numerical, quantified in days. However, it is only a falsely continuously variable, as it is limited between 1 and 30. Not only was zero not included, the large sample size ensured that every increment of 1 day had a large number of data. This can be seen in the scatter plot in Graph 1. This contributed to the statistical significance of our model, but also poses limitations. In future research, the research question may be modified to include a larger range of days unwell. However, in doing so, it is important to consider patient recall bias and other problems.</w:t>
      </w:r>
    </w:p>
    <w:p w:rsidR="00CA3EAA" w:rsidRDefault="00CA3EAA" w:rsidP="00952623">
      <w:pPr>
        <w:spacing w:line="480" w:lineRule="auto"/>
      </w:pPr>
      <w:r>
        <w:t>There is inherent limitation on our study based on the definition of “healthy days”. The definition limits this study to be a cross-sectional representation of the population. The survey does not capture any information about the context, existence, cause, or duration of days unwell. Each of these factors may be of interest to the researcher. However, to analyze these, more specific study design needs to be tested.</w:t>
      </w:r>
    </w:p>
    <w:p w:rsidR="00CA3EAA" w:rsidRDefault="00CA3EAA" w:rsidP="00952623">
      <w:pPr>
        <w:spacing w:line="480" w:lineRule="auto"/>
      </w:pPr>
      <w:r>
        <w:t xml:space="preserve">Another limitation identified with this study is the reporting bias of self-report surveys. It may be easier for individuals to remember </w:t>
      </w:r>
      <w:r w:rsidR="00331EF2">
        <w:t>1 or 2 sick days, or if they are sick for all 30 days, but it is harder to distinguish those numbers in the middle. For example, the difference between 17 to 18 may not be as well recalled as 1 to 2, or 29 to 30. This recall bias may contribute to the bimodal distribution of residuals, and calls for adjustments in survey design. Inherent with all self-report studies, it is important to account for recall bias.</w:t>
      </w:r>
    </w:p>
    <w:p w:rsidR="00CC300A" w:rsidRPr="00296E79" w:rsidRDefault="00CC300A" w:rsidP="00952623">
      <w:pPr>
        <w:spacing w:line="480" w:lineRule="auto"/>
        <w:rPr>
          <w:b/>
          <w:sz w:val="24"/>
        </w:rPr>
      </w:pPr>
      <w:r w:rsidRPr="00296E79">
        <w:rPr>
          <w:b/>
          <w:sz w:val="24"/>
        </w:rPr>
        <w:lastRenderedPageBreak/>
        <w:t>Conclusion</w:t>
      </w:r>
    </w:p>
    <w:p w:rsidR="00331EF2" w:rsidRDefault="007E37A0" w:rsidP="00952623">
      <w:pPr>
        <w:spacing w:line="480" w:lineRule="auto"/>
      </w:pPr>
      <w:r>
        <w:t>In short, t</w:t>
      </w:r>
      <w:r w:rsidR="00331EF2">
        <w:t xml:space="preserve">his study found a statistically significant </w:t>
      </w:r>
      <w:r>
        <w:t xml:space="preserve">linear </w:t>
      </w:r>
      <w:r w:rsidR="00331EF2">
        <w:t>model</w:t>
      </w:r>
      <w:r>
        <w:t xml:space="preserve"> to predict perceived days unwell for physical health from mental health</w:t>
      </w:r>
      <w:r w:rsidR="00331EF2">
        <w:t>. However, it is not generalizable to other populations because it does not meet all assumptions. The model can still help us understand the interaction between perceived mental health and perceived physical health, and provides valuable foundation for further research in this area.</w:t>
      </w:r>
      <w:r>
        <w:t xml:space="preserve"> The extent to which these two variables correlate to each other calls for considerations for physicians when making decisions on physical health interventions for patients. It shows the importance of having a holistic view in patient health recovery that emphasize the interaction between physical and mental health of the individual.</w:t>
      </w:r>
    </w:p>
    <w:p w:rsidR="00296E79" w:rsidRDefault="00296E79" w:rsidP="00952623">
      <w:pPr>
        <w:spacing w:line="480" w:lineRule="auto"/>
      </w:pPr>
    </w:p>
    <w:p w:rsidR="00296E79" w:rsidRDefault="00296E79" w:rsidP="00952623">
      <w:pPr>
        <w:spacing w:line="480" w:lineRule="auto"/>
      </w:pPr>
      <w:r>
        <w:br w:type="page"/>
      </w:r>
    </w:p>
    <w:p w:rsidR="004F4E8F" w:rsidRPr="00296E79" w:rsidRDefault="004F4E8F" w:rsidP="00952623">
      <w:pPr>
        <w:spacing w:line="480" w:lineRule="auto"/>
        <w:rPr>
          <w:b/>
          <w:sz w:val="24"/>
        </w:rPr>
      </w:pPr>
      <w:r w:rsidRPr="00296E79">
        <w:rPr>
          <w:b/>
          <w:sz w:val="24"/>
        </w:rPr>
        <w:lastRenderedPageBreak/>
        <w:t>Works Cited</w:t>
      </w:r>
    </w:p>
    <w:p w:rsidR="007E37A0" w:rsidRPr="007E37A0" w:rsidRDefault="007E37A0" w:rsidP="00952623">
      <w:pPr>
        <w:pStyle w:val="Bibliography"/>
        <w:spacing w:line="480" w:lineRule="auto"/>
        <w:rPr>
          <w:rFonts w:ascii="Calibri" w:hAnsi="Calibri" w:cs="Calibri"/>
        </w:rPr>
      </w:pPr>
      <w:r>
        <w:rPr>
          <w:b/>
        </w:rPr>
        <w:fldChar w:fldCharType="begin"/>
      </w:r>
      <w:r>
        <w:rPr>
          <w:b/>
        </w:rPr>
        <w:instrText xml:space="preserve"> ADDIN ZOTERO_BIBL {"uncited":[],"omitted":[],"custom":[]} CSL_BIBLIOGRAPHY </w:instrText>
      </w:r>
      <w:r>
        <w:rPr>
          <w:b/>
        </w:rPr>
        <w:fldChar w:fldCharType="separate"/>
      </w:r>
      <w:r w:rsidRPr="007E37A0">
        <w:rPr>
          <w:rFonts w:ascii="Calibri" w:hAnsi="Calibri" w:cs="Calibri"/>
        </w:rPr>
        <w:t xml:space="preserve">1. </w:t>
      </w:r>
      <w:r w:rsidRPr="007E37A0">
        <w:rPr>
          <w:rFonts w:ascii="Calibri" w:hAnsi="Calibri" w:cs="Calibri"/>
        </w:rPr>
        <w:tab/>
        <w:t>World Health Organization. Constitution of WHO: principles. WHO. http://www.who.int/about/mission/en/. Accessed September 28, 2018.</w:t>
      </w:r>
    </w:p>
    <w:p w:rsidR="007E37A0" w:rsidRPr="007E37A0" w:rsidRDefault="007E37A0" w:rsidP="00952623">
      <w:pPr>
        <w:pStyle w:val="Bibliography"/>
        <w:spacing w:line="480" w:lineRule="auto"/>
        <w:rPr>
          <w:rFonts w:ascii="Calibri" w:hAnsi="Calibri" w:cs="Calibri"/>
        </w:rPr>
      </w:pPr>
      <w:r w:rsidRPr="007E37A0">
        <w:rPr>
          <w:rFonts w:ascii="Calibri" w:hAnsi="Calibri" w:cs="Calibri"/>
        </w:rPr>
        <w:t xml:space="preserve">2. </w:t>
      </w:r>
      <w:r w:rsidRPr="007E37A0">
        <w:rPr>
          <w:rFonts w:ascii="Calibri" w:hAnsi="Calibri" w:cs="Calibri"/>
        </w:rPr>
        <w:tab/>
        <w:t xml:space="preserve">Huber M, Knottnerus JA, Green L, et al. How should we define health? </w:t>
      </w:r>
      <w:r w:rsidRPr="007E37A0">
        <w:rPr>
          <w:rFonts w:ascii="Calibri" w:hAnsi="Calibri" w:cs="Calibri"/>
          <w:i/>
          <w:iCs/>
        </w:rPr>
        <w:t>BMJ</w:t>
      </w:r>
      <w:r w:rsidRPr="007E37A0">
        <w:rPr>
          <w:rFonts w:ascii="Calibri" w:hAnsi="Calibri" w:cs="Calibri"/>
        </w:rPr>
        <w:t>. 2011;343:d4163. doi:10.1136/bmj.d4163</w:t>
      </w:r>
    </w:p>
    <w:p w:rsidR="007E37A0" w:rsidRPr="007E37A0" w:rsidRDefault="007E37A0" w:rsidP="00952623">
      <w:pPr>
        <w:pStyle w:val="Bibliography"/>
        <w:spacing w:line="480" w:lineRule="auto"/>
        <w:rPr>
          <w:rFonts w:ascii="Calibri" w:hAnsi="Calibri" w:cs="Calibri"/>
        </w:rPr>
      </w:pPr>
      <w:r w:rsidRPr="007E37A0">
        <w:rPr>
          <w:rFonts w:ascii="Calibri" w:hAnsi="Calibri" w:cs="Calibri"/>
        </w:rPr>
        <w:t xml:space="preserve">3. </w:t>
      </w:r>
      <w:r w:rsidRPr="007E37A0">
        <w:rPr>
          <w:rFonts w:ascii="Calibri" w:hAnsi="Calibri" w:cs="Calibri"/>
        </w:rPr>
        <w:tab/>
        <w:t xml:space="preserve">Patten SB. Long-term medical conditions and major depression in a Canadian population study at waves 1 and 2. </w:t>
      </w:r>
      <w:r w:rsidRPr="007E37A0">
        <w:rPr>
          <w:rFonts w:ascii="Calibri" w:hAnsi="Calibri" w:cs="Calibri"/>
          <w:i/>
          <w:iCs/>
        </w:rPr>
        <w:t>J Affect Disord</w:t>
      </w:r>
      <w:r w:rsidRPr="007E37A0">
        <w:rPr>
          <w:rFonts w:ascii="Calibri" w:hAnsi="Calibri" w:cs="Calibri"/>
        </w:rPr>
        <w:t>. 2001;63(1-3):35-41.</w:t>
      </w:r>
    </w:p>
    <w:p w:rsidR="007E37A0" w:rsidRPr="007E37A0" w:rsidRDefault="007E37A0" w:rsidP="00952623">
      <w:pPr>
        <w:pStyle w:val="Bibliography"/>
        <w:spacing w:line="480" w:lineRule="auto"/>
        <w:rPr>
          <w:rFonts w:ascii="Calibri" w:hAnsi="Calibri" w:cs="Calibri"/>
        </w:rPr>
      </w:pPr>
      <w:r w:rsidRPr="007E37A0">
        <w:rPr>
          <w:rFonts w:ascii="Calibri" w:hAnsi="Calibri" w:cs="Calibri"/>
        </w:rPr>
        <w:t xml:space="preserve">4. </w:t>
      </w:r>
      <w:r w:rsidRPr="007E37A0">
        <w:rPr>
          <w:rFonts w:ascii="Calibri" w:hAnsi="Calibri" w:cs="Calibri"/>
        </w:rPr>
        <w:tab/>
        <w:t xml:space="preserve">Goldberg D. The detection and treatment of depression in the physically ill. </w:t>
      </w:r>
      <w:r w:rsidRPr="007E37A0">
        <w:rPr>
          <w:rFonts w:ascii="Calibri" w:hAnsi="Calibri" w:cs="Calibri"/>
          <w:i/>
          <w:iCs/>
        </w:rPr>
        <w:t>World Psychiatry</w:t>
      </w:r>
      <w:r w:rsidRPr="007E37A0">
        <w:rPr>
          <w:rFonts w:ascii="Calibri" w:hAnsi="Calibri" w:cs="Calibri"/>
        </w:rPr>
        <w:t>. 2010;9(1):16-20. doi:10.1002/j.2051-5545.2010.tb00256.x</w:t>
      </w:r>
    </w:p>
    <w:p w:rsidR="007E37A0" w:rsidRPr="007E37A0" w:rsidRDefault="007E37A0" w:rsidP="00952623">
      <w:pPr>
        <w:pStyle w:val="Bibliography"/>
        <w:spacing w:line="480" w:lineRule="auto"/>
        <w:rPr>
          <w:rFonts w:ascii="Calibri" w:hAnsi="Calibri" w:cs="Calibri"/>
        </w:rPr>
      </w:pPr>
      <w:r w:rsidRPr="007E37A0">
        <w:rPr>
          <w:rFonts w:ascii="Calibri" w:hAnsi="Calibri" w:cs="Calibri"/>
        </w:rPr>
        <w:t xml:space="preserve">5. </w:t>
      </w:r>
      <w:r w:rsidRPr="007E37A0">
        <w:rPr>
          <w:rFonts w:ascii="Calibri" w:hAnsi="Calibri" w:cs="Calibri"/>
        </w:rPr>
        <w:tab/>
        <w:t xml:space="preserve">Dworkin SF, Korff MV, LeResche L. Multiple Pains and Psychiatric Disturbance: An Epidemiologic Investigation. </w:t>
      </w:r>
      <w:r w:rsidRPr="007E37A0">
        <w:rPr>
          <w:rFonts w:ascii="Calibri" w:hAnsi="Calibri" w:cs="Calibri"/>
          <w:i/>
          <w:iCs/>
        </w:rPr>
        <w:t>Arch Gen Psychiatry</w:t>
      </w:r>
      <w:r w:rsidRPr="007E37A0">
        <w:rPr>
          <w:rFonts w:ascii="Calibri" w:hAnsi="Calibri" w:cs="Calibri"/>
        </w:rPr>
        <w:t>. 1990;47(3):239-244. doi:10.1001/archpsyc.1990.01810150039007</w:t>
      </w:r>
    </w:p>
    <w:p w:rsidR="007E37A0" w:rsidRPr="007E37A0" w:rsidRDefault="007E37A0" w:rsidP="00952623">
      <w:pPr>
        <w:pStyle w:val="Bibliography"/>
        <w:spacing w:line="480" w:lineRule="auto"/>
        <w:rPr>
          <w:rFonts w:ascii="Calibri" w:hAnsi="Calibri" w:cs="Calibri"/>
        </w:rPr>
      </w:pPr>
      <w:r w:rsidRPr="007E37A0">
        <w:rPr>
          <w:rFonts w:ascii="Calibri" w:hAnsi="Calibri" w:cs="Calibri"/>
        </w:rPr>
        <w:t xml:space="preserve">6. </w:t>
      </w:r>
      <w:r w:rsidRPr="007E37A0">
        <w:rPr>
          <w:rFonts w:ascii="Calibri" w:hAnsi="Calibri" w:cs="Calibri"/>
        </w:rPr>
        <w:tab/>
        <w:t xml:space="preserve">Prince MJ, Harwood RH, Blizard RA, Thomas A, Mann AH. Impairment, disability and handicap as risk factors for depression in old age. The Gospel Oak Project .5. </w:t>
      </w:r>
      <w:r w:rsidRPr="007E37A0">
        <w:rPr>
          <w:rFonts w:ascii="Calibri" w:hAnsi="Calibri" w:cs="Calibri"/>
          <w:i/>
          <w:iCs/>
        </w:rPr>
        <w:t>Psychol Med</w:t>
      </w:r>
      <w:r w:rsidRPr="007E37A0">
        <w:rPr>
          <w:rFonts w:ascii="Calibri" w:hAnsi="Calibri" w:cs="Calibri"/>
        </w:rPr>
        <w:t>. 1997;27(2):311-321. doi:10.1017/S0033291796004473</w:t>
      </w:r>
    </w:p>
    <w:p w:rsidR="007E37A0" w:rsidRPr="007E37A0" w:rsidRDefault="007E37A0" w:rsidP="00952623">
      <w:pPr>
        <w:pStyle w:val="Bibliography"/>
        <w:spacing w:line="480" w:lineRule="auto"/>
        <w:rPr>
          <w:rFonts w:ascii="Calibri" w:hAnsi="Calibri" w:cs="Calibri"/>
        </w:rPr>
      </w:pPr>
      <w:r w:rsidRPr="007E37A0">
        <w:rPr>
          <w:rFonts w:ascii="Calibri" w:hAnsi="Calibri" w:cs="Calibri"/>
        </w:rPr>
        <w:t xml:space="preserve">7. </w:t>
      </w:r>
      <w:r w:rsidRPr="007E37A0">
        <w:rPr>
          <w:rFonts w:ascii="Calibri" w:hAnsi="Calibri" w:cs="Calibri"/>
        </w:rPr>
        <w:tab/>
        <w:t xml:space="preserve">Ormel J, Kempen GI, Penninx BW, Brilman EI, Beekman AT, van Sonderen E. Chronic medical conditions and mental health in older people: disability and psychosocial resources mediate specific mental health effects. </w:t>
      </w:r>
      <w:r w:rsidRPr="007E37A0">
        <w:rPr>
          <w:rFonts w:ascii="Calibri" w:hAnsi="Calibri" w:cs="Calibri"/>
          <w:i/>
          <w:iCs/>
        </w:rPr>
        <w:t>Psychol Med</w:t>
      </w:r>
      <w:r w:rsidRPr="007E37A0">
        <w:rPr>
          <w:rFonts w:ascii="Calibri" w:hAnsi="Calibri" w:cs="Calibri"/>
        </w:rPr>
        <w:t>. 1997;27(5):1065-1077.</w:t>
      </w:r>
    </w:p>
    <w:p w:rsidR="007E37A0" w:rsidRPr="007E37A0" w:rsidRDefault="007E37A0" w:rsidP="00952623">
      <w:pPr>
        <w:pStyle w:val="Bibliography"/>
        <w:spacing w:line="480" w:lineRule="auto"/>
        <w:rPr>
          <w:rFonts w:ascii="Calibri" w:hAnsi="Calibri" w:cs="Calibri"/>
        </w:rPr>
      </w:pPr>
      <w:r w:rsidRPr="007E37A0">
        <w:rPr>
          <w:rFonts w:ascii="Calibri" w:hAnsi="Calibri" w:cs="Calibri"/>
        </w:rPr>
        <w:t xml:space="preserve">8. </w:t>
      </w:r>
      <w:r w:rsidRPr="007E37A0">
        <w:rPr>
          <w:rFonts w:ascii="Calibri" w:hAnsi="Calibri" w:cs="Calibri"/>
        </w:rPr>
        <w:tab/>
        <w:t>Collingwood J. The Relationship Between Mental &amp; Physical Health. Psych Central. https://psychcentral.com/lib/the-relationship-between-mental-and-physical-health/. Published May 17, 2016. Accessed September 28, 2018.</w:t>
      </w:r>
    </w:p>
    <w:p w:rsidR="007E37A0" w:rsidRPr="007E37A0" w:rsidRDefault="007E37A0" w:rsidP="00952623">
      <w:pPr>
        <w:pStyle w:val="Bibliography"/>
        <w:spacing w:line="480" w:lineRule="auto"/>
        <w:rPr>
          <w:rFonts w:ascii="Calibri" w:hAnsi="Calibri" w:cs="Calibri"/>
        </w:rPr>
      </w:pPr>
      <w:r w:rsidRPr="007E37A0">
        <w:rPr>
          <w:rFonts w:ascii="Calibri" w:hAnsi="Calibri" w:cs="Calibri"/>
        </w:rPr>
        <w:lastRenderedPageBreak/>
        <w:t xml:space="preserve">9. </w:t>
      </w:r>
      <w:r w:rsidRPr="007E37A0">
        <w:rPr>
          <w:rFonts w:ascii="Calibri" w:hAnsi="Calibri" w:cs="Calibri"/>
        </w:rPr>
        <w:tab/>
        <w:t>Mental Health Foundation. Physical health and mental health. Mental Health Foundation. https://www.mentalhealth.org.uk/a-to-z/p/physical-health-and-mental-health. Published August 7, 2015. Accessed September 28, 2018.</w:t>
      </w:r>
    </w:p>
    <w:p w:rsidR="007E37A0" w:rsidRPr="007E37A0" w:rsidRDefault="007E37A0" w:rsidP="00952623">
      <w:pPr>
        <w:pStyle w:val="Bibliography"/>
        <w:spacing w:line="480" w:lineRule="auto"/>
        <w:rPr>
          <w:rFonts w:ascii="Calibri" w:hAnsi="Calibri" w:cs="Calibri"/>
        </w:rPr>
      </w:pPr>
      <w:r w:rsidRPr="007E37A0">
        <w:rPr>
          <w:rFonts w:ascii="Calibri" w:hAnsi="Calibri" w:cs="Calibri"/>
        </w:rPr>
        <w:t xml:space="preserve">10. </w:t>
      </w:r>
      <w:r w:rsidRPr="007E37A0">
        <w:rPr>
          <w:rFonts w:ascii="Calibri" w:hAnsi="Calibri" w:cs="Calibri"/>
        </w:rPr>
        <w:tab/>
        <w:t xml:space="preserve">Penedo FJ, Dahn JR. Exercise and well-being: a review of mental and physical health benefits associated with physical activity. </w:t>
      </w:r>
      <w:r w:rsidRPr="007E37A0">
        <w:rPr>
          <w:rFonts w:ascii="Calibri" w:hAnsi="Calibri" w:cs="Calibri"/>
          <w:i/>
          <w:iCs/>
        </w:rPr>
        <w:t>Curr Opin Psychiatry</w:t>
      </w:r>
      <w:r w:rsidRPr="007E37A0">
        <w:rPr>
          <w:rFonts w:ascii="Calibri" w:hAnsi="Calibri" w:cs="Calibri"/>
        </w:rPr>
        <w:t>. 2005;18(2):189.</w:t>
      </w:r>
    </w:p>
    <w:p w:rsidR="007E37A0" w:rsidRPr="007E37A0" w:rsidRDefault="007E37A0" w:rsidP="00952623">
      <w:pPr>
        <w:pStyle w:val="Bibliography"/>
        <w:spacing w:line="480" w:lineRule="auto"/>
        <w:rPr>
          <w:rFonts w:ascii="Calibri" w:hAnsi="Calibri" w:cs="Calibri"/>
        </w:rPr>
      </w:pPr>
      <w:r w:rsidRPr="007E37A0">
        <w:rPr>
          <w:rFonts w:ascii="Calibri" w:hAnsi="Calibri" w:cs="Calibri"/>
        </w:rPr>
        <w:t xml:space="preserve">11. </w:t>
      </w:r>
      <w:r w:rsidRPr="007E37A0">
        <w:rPr>
          <w:rFonts w:ascii="Calibri" w:hAnsi="Calibri" w:cs="Calibri"/>
        </w:rPr>
        <w:tab/>
        <w:t xml:space="preserve">López Revuelta K, López G, J F, de Álvaro Moreno F, Alonso J. Perceived mental health at the start of dialysis as a predictor of morbidity and mortality in patients with end-stage renal disease (CALVIDIA Study). </w:t>
      </w:r>
      <w:r w:rsidRPr="007E37A0">
        <w:rPr>
          <w:rFonts w:ascii="Calibri" w:hAnsi="Calibri" w:cs="Calibri"/>
          <w:i/>
          <w:iCs/>
        </w:rPr>
        <w:t>Nephrol Dial Transplant</w:t>
      </w:r>
      <w:r w:rsidRPr="007E37A0">
        <w:rPr>
          <w:rFonts w:ascii="Calibri" w:hAnsi="Calibri" w:cs="Calibri"/>
        </w:rPr>
        <w:t>. 2004;19(9):2347-2353. doi:10.1093/ndt/gfh392</w:t>
      </w:r>
    </w:p>
    <w:p w:rsidR="007E37A0" w:rsidRPr="007E37A0" w:rsidRDefault="007E37A0" w:rsidP="00952623">
      <w:pPr>
        <w:pStyle w:val="Bibliography"/>
        <w:spacing w:line="480" w:lineRule="auto"/>
        <w:rPr>
          <w:rFonts w:ascii="Calibri" w:hAnsi="Calibri" w:cs="Calibri"/>
        </w:rPr>
      </w:pPr>
      <w:r w:rsidRPr="007E37A0">
        <w:rPr>
          <w:rFonts w:ascii="Calibri" w:hAnsi="Calibri" w:cs="Calibri"/>
        </w:rPr>
        <w:t xml:space="preserve">12. </w:t>
      </w:r>
      <w:r w:rsidRPr="007E37A0">
        <w:rPr>
          <w:rFonts w:ascii="Calibri" w:hAnsi="Calibri" w:cs="Calibri"/>
        </w:rPr>
        <w:tab/>
        <w:t xml:space="preserve">Moriarty DG, Zack MM, Kobau R. The Centers for Disease Control and Prevention’s Healthy Days Measures – Population tracking of perceived physical and mental health over time. </w:t>
      </w:r>
      <w:r w:rsidRPr="007E37A0">
        <w:rPr>
          <w:rFonts w:ascii="Calibri" w:hAnsi="Calibri" w:cs="Calibri"/>
          <w:i/>
          <w:iCs/>
        </w:rPr>
        <w:t>Health Qual Life Outcomes</w:t>
      </w:r>
      <w:r w:rsidRPr="007E37A0">
        <w:rPr>
          <w:rFonts w:ascii="Calibri" w:hAnsi="Calibri" w:cs="Calibri"/>
        </w:rPr>
        <w:t>. 2003;1(1):37. doi:10.1186/1477-7525-1-37</w:t>
      </w:r>
    </w:p>
    <w:p w:rsidR="007E37A0" w:rsidRPr="007E37A0" w:rsidRDefault="007E37A0" w:rsidP="00952623">
      <w:pPr>
        <w:pStyle w:val="Bibliography"/>
        <w:spacing w:line="480" w:lineRule="auto"/>
        <w:rPr>
          <w:rFonts w:ascii="Calibri" w:hAnsi="Calibri" w:cs="Calibri"/>
        </w:rPr>
      </w:pPr>
      <w:r w:rsidRPr="007E37A0">
        <w:rPr>
          <w:rFonts w:ascii="Calibri" w:hAnsi="Calibri" w:cs="Calibri"/>
        </w:rPr>
        <w:t xml:space="preserve">13. </w:t>
      </w:r>
      <w:r w:rsidRPr="007E37A0">
        <w:rPr>
          <w:rFonts w:ascii="Calibri" w:hAnsi="Calibri" w:cs="Calibri"/>
        </w:rPr>
        <w:tab/>
        <w:t xml:space="preserve">Ounpuu S, Krueger P, Vermeulen M, Chambers L. Using the U.S. behavior risk factor surveillance system’s health related quality of life survey tool in a Canadian city. </w:t>
      </w:r>
      <w:r w:rsidRPr="007E37A0">
        <w:rPr>
          <w:rFonts w:ascii="Calibri" w:hAnsi="Calibri" w:cs="Calibri"/>
          <w:i/>
          <w:iCs/>
        </w:rPr>
        <w:t>Can J Public Health Ott</w:t>
      </w:r>
      <w:r w:rsidRPr="007E37A0">
        <w:rPr>
          <w:rFonts w:ascii="Calibri" w:hAnsi="Calibri" w:cs="Calibri"/>
        </w:rPr>
        <w:t>. 2000;91(1):67-72.</w:t>
      </w:r>
    </w:p>
    <w:p w:rsidR="007E37A0" w:rsidRPr="007E37A0" w:rsidRDefault="007E37A0" w:rsidP="00952623">
      <w:pPr>
        <w:pStyle w:val="Bibliography"/>
        <w:spacing w:line="480" w:lineRule="auto"/>
        <w:rPr>
          <w:rFonts w:ascii="Calibri" w:hAnsi="Calibri" w:cs="Calibri"/>
        </w:rPr>
      </w:pPr>
      <w:r w:rsidRPr="007E37A0">
        <w:rPr>
          <w:rFonts w:ascii="Calibri" w:hAnsi="Calibri" w:cs="Calibri"/>
        </w:rPr>
        <w:t xml:space="preserve">14. </w:t>
      </w:r>
      <w:r w:rsidRPr="007E37A0">
        <w:rPr>
          <w:rFonts w:ascii="Calibri" w:hAnsi="Calibri" w:cs="Calibri"/>
        </w:rPr>
        <w:tab/>
        <w:t>Behavioral Risk Factor Surveillance System. OVERVIEW: BRFSS 2017. July 2018. https://www.cdc.gov/brfss/annual_data/2017/pdf/overview-2017-508.pdf. Accessed September 27, 2018.</w:t>
      </w:r>
    </w:p>
    <w:p w:rsidR="007E37A0" w:rsidRPr="007E37A0" w:rsidRDefault="007E37A0" w:rsidP="00952623">
      <w:pPr>
        <w:pStyle w:val="Bibliography"/>
        <w:spacing w:line="480" w:lineRule="auto"/>
        <w:rPr>
          <w:rFonts w:ascii="Calibri" w:hAnsi="Calibri" w:cs="Calibri"/>
        </w:rPr>
      </w:pPr>
      <w:r w:rsidRPr="007E37A0">
        <w:rPr>
          <w:rFonts w:ascii="Calibri" w:hAnsi="Calibri" w:cs="Calibri"/>
        </w:rPr>
        <w:t xml:space="preserve">15. </w:t>
      </w:r>
      <w:r w:rsidRPr="007E37A0">
        <w:rPr>
          <w:rFonts w:ascii="Calibri" w:hAnsi="Calibri" w:cs="Calibri"/>
        </w:rPr>
        <w:tab/>
        <w:t>Behavioral Risk Factor Surveillance System. LLCP 2017 Codebook Report Overall version data weighted with _LLCPWT Behavioral Risk Factor Surveillance System. September 2018. https://www.cdc.gov/brfss/annual_data/2017/pdf/codebook17_llcp-508.pdf. Accessed September 27, 2018.</w:t>
      </w:r>
    </w:p>
    <w:p w:rsidR="004F4E8F" w:rsidRPr="00296E79" w:rsidRDefault="007E37A0" w:rsidP="00952623">
      <w:pPr>
        <w:spacing w:line="480" w:lineRule="auto"/>
        <w:rPr>
          <w:b/>
          <w:sz w:val="24"/>
        </w:rPr>
      </w:pPr>
      <w:r>
        <w:rPr>
          <w:b/>
        </w:rPr>
        <w:lastRenderedPageBreak/>
        <w:fldChar w:fldCharType="end"/>
      </w:r>
      <w:r w:rsidR="004F4E8F" w:rsidRPr="00296E79">
        <w:rPr>
          <w:b/>
          <w:sz w:val="24"/>
        </w:rPr>
        <w:t>Appendix</w:t>
      </w:r>
      <w:r w:rsidR="00D1677B" w:rsidRPr="00296E79">
        <w:rPr>
          <w:b/>
          <w:sz w:val="24"/>
        </w:rPr>
        <w:t xml:space="preserve"> A</w:t>
      </w:r>
    </w:p>
    <w:p w:rsidR="00FA1638" w:rsidRDefault="00FA1638" w:rsidP="00952623">
      <w:pPr>
        <w:spacing w:line="480" w:lineRule="auto"/>
        <w:rPr>
          <w:b/>
        </w:rPr>
      </w:pPr>
      <w:r>
        <w:rPr>
          <w:b/>
        </w:rPr>
        <w:t>Table 1 Case Processing Summary</w:t>
      </w:r>
    </w:p>
    <w:p w:rsidR="00FA1638" w:rsidRPr="00FA1638" w:rsidRDefault="00FA1638" w:rsidP="00952623">
      <w:pPr>
        <w:autoSpaceDE w:val="0"/>
        <w:autoSpaceDN w:val="0"/>
        <w:adjustRightInd w:val="0"/>
        <w:spacing w:after="0" w:line="480" w:lineRule="auto"/>
        <w:rPr>
          <w:rFonts w:ascii="Times New Roman" w:hAnsi="Times New Roman" w:cs="Times New Roman"/>
          <w:sz w:val="24"/>
          <w:szCs w:val="24"/>
        </w:rPr>
      </w:pPr>
    </w:p>
    <w:tbl>
      <w:tblPr>
        <w:tblW w:w="85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1024"/>
        <w:gridCol w:w="1025"/>
        <w:gridCol w:w="1025"/>
        <w:gridCol w:w="1025"/>
        <w:gridCol w:w="1025"/>
        <w:gridCol w:w="1025"/>
      </w:tblGrid>
      <w:tr w:rsidR="00FA1638" w:rsidRPr="00FA1638">
        <w:trPr>
          <w:cantSplit/>
        </w:trPr>
        <w:tc>
          <w:tcPr>
            <w:tcW w:w="8591" w:type="dxa"/>
            <w:gridSpan w:val="7"/>
            <w:tcBorders>
              <w:top w:val="nil"/>
              <w:left w:val="nil"/>
              <w:bottom w:val="nil"/>
              <w:right w:val="nil"/>
            </w:tcBorders>
            <w:shd w:val="clear" w:color="auto" w:fill="FFFFFF"/>
            <w:vAlign w:val="center"/>
          </w:tcPr>
          <w:p w:rsidR="00FA1638" w:rsidRPr="00FA1638" w:rsidRDefault="00FA1638" w:rsidP="00952623">
            <w:pPr>
              <w:autoSpaceDE w:val="0"/>
              <w:autoSpaceDN w:val="0"/>
              <w:adjustRightInd w:val="0"/>
              <w:spacing w:after="0" w:line="480" w:lineRule="auto"/>
              <w:ind w:left="60" w:right="60"/>
              <w:jc w:val="center"/>
              <w:rPr>
                <w:rFonts w:ascii="Arial" w:hAnsi="Arial" w:cs="Arial"/>
                <w:color w:val="010205"/>
              </w:rPr>
            </w:pPr>
            <w:r w:rsidRPr="00FA1638">
              <w:rPr>
                <w:rFonts w:ascii="Arial" w:hAnsi="Arial" w:cs="Arial"/>
                <w:b/>
                <w:bCs/>
                <w:color w:val="010205"/>
              </w:rPr>
              <w:t>Case Processing Summary</w:t>
            </w:r>
          </w:p>
        </w:tc>
      </w:tr>
      <w:tr w:rsidR="00FA1638" w:rsidRPr="00FA1638">
        <w:trPr>
          <w:cantSplit/>
        </w:trPr>
        <w:tc>
          <w:tcPr>
            <w:tcW w:w="2447" w:type="dxa"/>
            <w:vMerge w:val="restart"/>
            <w:tcBorders>
              <w:top w:val="nil"/>
              <w:left w:val="nil"/>
              <w:bottom w:val="nil"/>
              <w:right w:val="nil"/>
            </w:tcBorders>
            <w:shd w:val="clear" w:color="auto" w:fill="FFFFFF"/>
            <w:vAlign w:val="bottom"/>
          </w:tcPr>
          <w:p w:rsidR="00FA1638" w:rsidRPr="00FA1638" w:rsidRDefault="00FA1638" w:rsidP="00952623">
            <w:pPr>
              <w:autoSpaceDE w:val="0"/>
              <w:autoSpaceDN w:val="0"/>
              <w:adjustRightInd w:val="0"/>
              <w:spacing w:after="0" w:line="480" w:lineRule="auto"/>
              <w:rPr>
                <w:rFonts w:ascii="Times New Roman" w:hAnsi="Times New Roman" w:cs="Times New Roman"/>
                <w:sz w:val="24"/>
                <w:szCs w:val="24"/>
              </w:rPr>
            </w:pPr>
          </w:p>
        </w:tc>
        <w:tc>
          <w:tcPr>
            <w:tcW w:w="6144" w:type="dxa"/>
            <w:gridSpan w:val="6"/>
            <w:tcBorders>
              <w:top w:val="nil"/>
              <w:left w:val="nil"/>
              <w:bottom w:val="nil"/>
              <w:right w:val="nil"/>
            </w:tcBorders>
            <w:shd w:val="clear" w:color="auto" w:fill="FFFFFF"/>
            <w:vAlign w:val="bottom"/>
          </w:tcPr>
          <w:p w:rsidR="00FA1638" w:rsidRPr="00FA1638" w:rsidRDefault="00FA1638" w:rsidP="00952623">
            <w:pPr>
              <w:autoSpaceDE w:val="0"/>
              <w:autoSpaceDN w:val="0"/>
              <w:adjustRightInd w:val="0"/>
              <w:spacing w:after="0" w:line="480" w:lineRule="auto"/>
              <w:ind w:left="60" w:right="60"/>
              <w:jc w:val="center"/>
              <w:rPr>
                <w:rFonts w:ascii="Arial" w:hAnsi="Arial" w:cs="Arial"/>
                <w:color w:val="264A60"/>
                <w:sz w:val="18"/>
                <w:szCs w:val="18"/>
              </w:rPr>
            </w:pPr>
            <w:r w:rsidRPr="00FA1638">
              <w:rPr>
                <w:rFonts w:ascii="Arial" w:hAnsi="Arial" w:cs="Arial"/>
                <w:color w:val="264A60"/>
                <w:sz w:val="18"/>
                <w:szCs w:val="18"/>
              </w:rPr>
              <w:t>Cases</w:t>
            </w:r>
          </w:p>
        </w:tc>
      </w:tr>
      <w:tr w:rsidR="00FA1638" w:rsidRPr="00FA1638">
        <w:trPr>
          <w:cantSplit/>
        </w:trPr>
        <w:tc>
          <w:tcPr>
            <w:tcW w:w="2447" w:type="dxa"/>
            <w:vMerge/>
            <w:tcBorders>
              <w:top w:val="nil"/>
              <w:left w:val="nil"/>
              <w:bottom w:val="nil"/>
              <w:right w:val="nil"/>
            </w:tcBorders>
            <w:shd w:val="clear" w:color="auto" w:fill="FFFFFF"/>
            <w:vAlign w:val="bottom"/>
          </w:tcPr>
          <w:p w:rsidR="00FA1638" w:rsidRPr="00FA1638" w:rsidRDefault="00FA1638" w:rsidP="00952623">
            <w:pPr>
              <w:autoSpaceDE w:val="0"/>
              <w:autoSpaceDN w:val="0"/>
              <w:adjustRightInd w:val="0"/>
              <w:spacing w:after="0" w:line="480" w:lineRule="auto"/>
              <w:rPr>
                <w:rFonts w:ascii="Arial" w:hAnsi="Arial" w:cs="Arial"/>
                <w:color w:val="264A60"/>
                <w:sz w:val="18"/>
                <w:szCs w:val="18"/>
              </w:rPr>
            </w:pPr>
          </w:p>
        </w:tc>
        <w:tc>
          <w:tcPr>
            <w:tcW w:w="2048" w:type="dxa"/>
            <w:gridSpan w:val="2"/>
            <w:tcBorders>
              <w:top w:val="nil"/>
              <w:left w:val="nil"/>
              <w:bottom w:val="nil"/>
              <w:right w:val="nil"/>
            </w:tcBorders>
            <w:shd w:val="clear" w:color="auto" w:fill="FFFFFF"/>
            <w:vAlign w:val="bottom"/>
          </w:tcPr>
          <w:p w:rsidR="00FA1638" w:rsidRPr="00FA1638" w:rsidRDefault="00FA1638" w:rsidP="00952623">
            <w:pPr>
              <w:autoSpaceDE w:val="0"/>
              <w:autoSpaceDN w:val="0"/>
              <w:adjustRightInd w:val="0"/>
              <w:spacing w:after="0" w:line="480" w:lineRule="auto"/>
              <w:ind w:left="60" w:right="60"/>
              <w:jc w:val="center"/>
              <w:rPr>
                <w:rFonts w:ascii="Arial" w:hAnsi="Arial" w:cs="Arial"/>
                <w:color w:val="264A60"/>
                <w:sz w:val="18"/>
                <w:szCs w:val="18"/>
              </w:rPr>
            </w:pPr>
            <w:r w:rsidRPr="00FA1638">
              <w:rPr>
                <w:rFonts w:ascii="Arial" w:hAnsi="Arial" w:cs="Arial"/>
                <w:color w:val="264A60"/>
                <w:sz w:val="18"/>
                <w:szCs w:val="18"/>
              </w:rPr>
              <w:t>Valid</w:t>
            </w:r>
          </w:p>
        </w:tc>
        <w:tc>
          <w:tcPr>
            <w:tcW w:w="2048" w:type="dxa"/>
            <w:gridSpan w:val="2"/>
            <w:tcBorders>
              <w:top w:val="nil"/>
              <w:left w:val="single" w:sz="8" w:space="0" w:color="E0E0E0"/>
              <w:bottom w:val="nil"/>
              <w:right w:val="nil"/>
            </w:tcBorders>
            <w:shd w:val="clear" w:color="auto" w:fill="FFFFFF"/>
            <w:vAlign w:val="bottom"/>
          </w:tcPr>
          <w:p w:rsidR="00FA1638" w:rsidRPr="00FA1638" w:rsidRDefault="00FA1638" w:rsidP="00952623">
            <w:pPr>
              <w:autoSpaceDE w:val="0"/>
              <w:autoSpaceDN w:val="0"/>
              <w:adjustRightInd w:val="0"/>
              <w:spacing w:after="0" w:line="480" w:lineRule="auto"/>
              <w:ind w:left="60" w:right="60"/>
              <w:jc w:val="center"/>
              <w:rPr>
                <w:rFonts w:ascii="Arial" w:hAnsi="Arial" w:cs="Arial"/>
                <w:color w:val="264A60"/>
                <w:sz w:val="18"/>
                <w:szCs w:val="18"/>
              </w:rPr>
            </w:pPr>
            <w:r w:rsidRPr="00FA1638">
              <w:rPr>
                <w:rFonts w:ascii="Arial" w:hAnsi="Arial" w:cs="Arial"/>
                <w:color w:val="264A60"/>
                <w:sz w:val="18"/>
                <w:szCs w:val="18"/>
              </w:rPr>
              <w:t>Missing</w:t>
            </w:r>
          </w:p>
        </w:tc>
        <w:tc>
          <w:tcPr>
            <w:tcW w:w="2048" w:type="dxa"/>
            <w:gridSpan w:val="2"/>
            <w:tcBorders>
              <w:top w:val="nil"/>
              <w:left w:val="single" w:sz="8" w:space="0" w:color="E0E0E0"/>
              <w:bottom w:val="nil"/>
              <w:right w:val="nil"/>
            </w:tcBorders>
            <w:shd w:val="clear" w:color="auto" w:fill="FFFFFF"/>
            <w:vAlign w:val="bottom"/>
          </w:tcPr>
          <w:p w:rsidR="00FA1638" w:rsidRPr="00FA1638" w:rsidRDefault="00FA1638" w:rsidP="00952623">
            <w:pPr>
              <w:autoSpaceDE w:val="0"/>
              <w:autoSpaceDN w:val="0"/>
              <w:adjustRightInd w:val="0"/>
              <w:spacing w:after="0" w:line="480" w:lineRule="auto"/>
              <w:ind w:left="60" w:right="60"/>
              <w:jc w:val="center"/>
              <w:rPr>
                <w:rFonts w:ascii="Arial" w:hAnsi="Arial" w:cs="Arial"/>
                <w:color w:val="264A60"/>
                <w:sz w:val="18"/>
                <w:szCs w:val="18"/>
              </w:rPr>
            </w:pPr>
            <w:r w:rsidRPr="00FA1638">
              <w:rPr>
                <w:rFonts w:ascii="Arial" w:hAnsi="Arial" w:cs="Arial"/>
                <w:color w:val="264A60"/>
                <w:sz w:val="18"/>
                <w:szCs w:val="18"/>
              </w:rPr>
              <w:t>Total</w:t>
            </w:r>
          </w:p>
        </w:tc>
      </w:tr>
      <w:tr w:rsidR="00FA1638" w:rsidRPr="00FA1638">
        <w:trPr>
          <w:cantSplit/>
        </w:trPr>
        <w:tc>
          <w:tcPr>
            <w:tcW w:w="2447" w:type="dxa"/>
            <w:vMerge/>
            <w:tcBorders>
              <w:top w:val="nil"/>
              <w:left w:val="nil"/>
              <w:bottom w:val="nil"/>
              <w:right w:val="nil"/>
            </w:tcBorders>
            <w:shd w:val="clear" w:color="auto" w:fill="FFFFFF"/>
            <w:vAlign w:val="bottom"/>
          </w:tcPr>
          <w:p w:rsidR="00FA1638" w:rsidRPr="00FA1638" w:rsidRDefault="00FA1638" w:rsidP="00952623">
            <w:pPr>
              <w:autoSpaceDE w:val="0"/>
              <w:autoSpaceDN w:val="0"/>
              <w:adjustRightInd w:val="0"/>
              <w:spacing w:after="0" w:line="480" w:lineRule="auto"/>
              <w:rPr>
                <w:rFonts w:ascii="Arial" w:hAnsi="Arial" w:cs="Arial"/>
                <w:color w:val="264A60"/>
                <w:sz w:val="18"/>
                <w:szCs w:val="18"/>
              </w:rPr>
            </w:pPr>
          </w:p>
        </w:tc>
        <w:tc>
          <w:tcPr>
            <w:tcW w:w="1024" w:type="dxa"/>
            <w:tcBorders>
              <w:top w:val="nil"/>
              <w:left w:val="nil"/>
              <w:bottom w:val="single" w:sz="8" w:space="0" w:color="152935"/>
              <w:right w:val="single" w:sz="8" w:space="0" w:color="E0E0E0"/>
            </w:tcBorders>
            <w:shd w:val="clear" w:color="auto" w:fill="FFFFFF"/>
            <w:vAlign w:val="bottom"/>
          </w:tcPr>
          <w:p w:rsidR="00FA1638" w:rsidRPr="00FA1638" w:rsidRDefault="00FA1638" w:rsidP="00952623">
            <w:pPr>
              <w:autoSpaceDE w:val="0"/>
              <w:autoSpaceDN w:val="0"/>
              <w:adjustRightInd w:val="0"/>
              <w:spacing w:after="0" w:line="480" w:lineRule="auto"/>
              <w:ind w:left="60" w:right="60"/>
              <w:jc w:val="center"/>
              <w:rPr>
                <w:rFonts w:ascii="Arial" w:hAnsi="Arial" w:cs="Arial"/>
                <w:color w:val="264A60"/>
                <w:sz w:val="18"/>
                <w:szCs w:val="18"/>
              </w:rPr>
            </w:pPr>
            <w:r w:rsidRPr="00FA1638">
              <w:rPr>
                <w:rFonts w:ascii="Arial" w:hAnsi="Arial" w:cs="Arial"/>
                <w:color w:val="264A60"/>
                <w:sz w:val="18"/>
                <w:szCs w:val="18"/>
              </w:rPr>
              <w:t>N</w:t>
            </w:r>
          </w:p>
        </w:tc>
        <w:tc>
          <w:tcPr>
            <w:tcW w:w="1024" w:type="dxa"/>
            <w:tcBorders>
              <w:top w:val="nil"/>
              <w:left w:val="single" w:sz="8" w:space="0" w:color="E0E0E0"/>
              <w:bottom w:val="single" w:sz="8" w:space="0" w:color="152935"/>
              <w:right w:val="nil"/>
            </w:tcBorders>
            <w:shd w:val="clear" w:color="auto" w:fill="FFFFFF"/>
            <w:vAlign w:val="bottom"/>
          </w:tcPr>
          <w:p w:rsidR="00FA1638" w:rsidRPr="00FA1638" w:rsidRDefault="00FA1638" w:rsidP="00952623">
            <w:pPr>
              <w:autoSpaceDE w:val="0"/>
              <w:autoSpaceDN w:val="0"/>
              <w:adjustRightInd w:val="0"/>
              <w:spacing w:after="0" w:line="480" w:lineRule="auto"/>
              <w:ind w:left="60" w:right="60"/>
              <w:jc w:val="center"/>
              <w:rPr>
                <w:rFonts w:ascii="Arial" w:hAnsi="Arial" w:cs="Arial"/>
                <w:color w:val="264A60"/>
                <w:sz w:val="18"/>
                <w:szCs w:val="18"/>
              </w:rPr>
            </w:pPr>
            <w:r w:rsidRPr="00FA1638">
              <w:rPr>
                <w:rFonts w:ascii="Arial" w:hAnsi="Arial" w:cs="Arial"/>
                <w:color w:val="264A60"/>
                <w:sz w:val="18"/>
                <w:szCs w:val="18"/>
              </w:rPr>
              <w:t>Percent</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FA1638" w:rsidRPr="00FA1638" w:rsidRDefault="00FA1638" w:rsidP="00952623">
            <w:pPr>
              <w:autoSpaceDE w:val="0"/>
              <w:autoSpaceDN w:val="0"/>
              <w:adjustRightInd w:val="0"/>
              <w:spacing w:after="0" w:line="480" w:lineRule="auto"/>
              <w:ind w:left="60" w:right="60"/>
              <w:jc w:val="center"/>
              <w:rPr>
                <w:rFonts w:ascii="Arial" w:hAnsi="Arial" w:cs="Arial"/>
                <w:color w:val="264A60"/>
                <w:sz w:val="18"/>
                <w:szCs w:val="18"/>
              </w:rPr>
            </w:pPr>
            <w:r w:rsidRPr="00FA1638">
              <w:rPr>
                <w:rFonts w:ascii="Arial" w:hAnsi="Arial" w:cs="Arial"/>
                <w:color w:val="264A60"/>
                <w:sz w:val="18"/>
                <w:szCs w:val="18"/>
              </w:rPr>
              <w:t>N</w:t>
            </w:r>
          </w:p>
        </w:tc>
        <w:tc>
          <w:tcPr>
            <w:tcW w:w="1024" w:type="dxa"/>
            <w:tcBorders>
              <w:top w:val="nil"/>
              <w:left w:val="single" w:sz="8" w:space="0" w:color="E0E0E0"/>
              <w:bottom w:val="single" w:sz="8" w:space="0" w:color="152935"/>
              <w:right w:val="nil"/>
            </w:tcBorders>
            <w:shd w:val="clear" w:color="auto" w:fill="FFFFFF"/>
            <w:vAlign w:val="bottom"/>
          </w:tcPr>
          <w:p w:rsidR="00FA1638" w:rsidRPr="00FA1638" w:rsidRDefault="00FA1638" w:rsidP="00952623">
            <w:pPr>
              <w:autoSpaceDE w:val="0"/>
              <w:autoSpaceDN w:val="0"/>
              <w:adjustRightInd w:val="0"/>
              <w:spacing w:after="0" w:line="480" w:lineRule="auto"/>
              <w:ind w:left="60" w:right="60"/>
              <w:jc w:val="center"/>
              <w:rPr>
                <w:rFonts w:ascii="Arial" w:hAnsi="Arial" w:cs="Arial"/>
                <w:color w:val="264A60"/>
                <w:sz w:val="18"/>
                <w:szCs w:val="18"/>
              </w:rPr>
            </w:pPr>
            <w:r w:rsidRPr="00FA1638">
              <w:rPr>
                <w:rFonts w:ascii="Arial" w:hAnsi="Arial" w:cs="Arial"/>
                <w:color w:val="264A60"/>
                <w:sz w:val="18"/>
                <w:szCs w:val="18"/>
              </w:rPr>
              <w:t>Percent</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FA1638" w:rsidRPr="00FA1638" w:rsidRDefault="00FA1638" w:rsidP="00952623">
            <w:pPr>
              <w:autoSpaceDE w:val="0"/>
              <w:autoSpaceDN w:val="0"/>
              <w:adjustRightInd w:val="0"/>
              <w:spacing w:after="0" w:line="480" w:lineRule="auto"/>
              <w:ind w:left="60" w:right="60"/>
              <w:jc w:val="center"/>
              <w:rPr>
                <w:rFonts w:ascii="Arial" w:hAnsi="Arial" w:cs="Arial"/>
                <w:color w:val="264A60"/>
                <w:sz w:val="18"/>
                <w:szCs w:val="18"/>
              </w:rPr>
            </w:pPr>
            <w:r w:rsidRPr="00FA1638">
              <w:rPr>
                <w:rFonts w:ascii="Arial" w:hAnsi="Arial" w:cs="Arial"/>
                <w:color w:val="264A60"/>
                <w:sz w:val="18"/>
                <w:szCs w:val="18"/>
              </w:rPr>
              <w:t>N</w:t>
            </w:r>
          </w:p>
        </w:tc>
        <w:tc>
          <w:tcPr>
            <w:tcW w:w="1024" w:type="dxa"/>
            <w:tcBorders>
              <w:top w:val="nil"/>
              <w:left w:val="single" w:sz="8" w:space="0" w:color="E0E0E0"/>
              <w:bottom w:val="single" w:sz="8" w:space="0" w:color="152935"/>
              <w:right w:val="nil"/>
            </w:tcBorders>
            <w:shd w:val="clear" w:color="auto" w:fill="FFFFFF"/>
            <w:vAlign w:val="bottom"/>
          </w:tcPr>
          <w:p w:rsidR="00FA1638" w:rsidRPr="00FA1638" w:rsidRDefault="00FA1638" w:rsidP="00952623">
            <w:pPr>
              <w:autoSpaceDE w:val="0"/>
              <w:autoSpaceDN w:val="0"/>
              <w:adjustRightInd w:val="0"/>
              <w:spacing w:after="0" w:line="480" w:lineRule="auto"/>
              <w:ind w:left="60" w:right="60"/>
              <w:jc w:val="center"/>
              <w:rPr>
                <w:rFonts w:ascii="Arial" w:hAnsi="Arial" w:cs="Arial"/>
                <w:color w:val="264A60"/>
                <w:sz w:val="18"/>
                <w:szCs w:val="18"/>
              </w:rPr>
            </w:pPr>
            <w:r w:rsidRPr="00FA1638">
              <w:rPr>
                <w:rFonts w:ascii="Arial" w:hAnsi="Arial" w:cs="Arial"/>
                <w:color w:val="264A60"/>
                <w:sz w:val="18"/>
                <w:szCs w:val="18"/>
              </w:rPr>
              <w:t>Percent</w:t>
            </w:r>
          </w:p>
        </w:tc>
      </w:tr>
      <w:tr w:rsidR="00FA1638" w:rsidRPr="00FA1638">
        <w:trPr>
          <w:cantSplit/>
        </w:trPr>
        <w:tc>
          <w:tcPr>
            <w:tcW w:w="2447" w:type="dxa"/>
            <w:tcBorders>
              <w:top w:val="single" w:sz="8" w:space="0" w:color="152935"/>
              <w:left w:val="nil"/>
              <w:bottom w:val="single" w:sz="8" w:space="0" w:color="AEAEAE"/>
              <w:right w:val="nil"/>
            </w:tcBorders>
            <w:shd w:val="clear" w:color="auto" w:fill="E0E0E0"/>
          </w:tcPr>
          <w:p w:rsidR="00FA1638" w:rsidRPr="00FA1638" w:rsidRDefault="00FA1638" w:rsidP="00952623">
            <w:pPr>
              <w:autoSpaceDE w:val="0"/>
              <w:autoSpaceDN w:val="0"/>
              <w:adjustRightInd w:val="0"/>
              <w:spacing w:after="0" w:line="480" w:lineRule="auto"/>
              <w:ind w:left="60" w:right="60"/>
              <w:rPr>
                <w:rFonts w:ascii="Arial" w:hAnsi="Arial" w:cs="Arial"/>
                <w:color w:val="264A60"/>
                <w:sz w:val="18"/>
                <w:szCs w:val="18"/>
              </w:rPr>
            </w:pPr>
            <w:r w:rsidRPr="00FA1638">
              <w:rPr>
                <w:rFonts w:ascii="Arial" w:hAnsi="Arial" w:cs="Arial"/>
                <w:color w:val="264A60"/>
                <w:sz w:val="18"/>
                <w:szCs w:val="18"/>
              </w:rPr>
              <w:t>NUMBER OF DAYS MENTAL HEALTH NOT GOOD</w:t>
            </w:r>
          </w:p>
        </w:tc>
        <w:tc>
          <w:tcPr>
            <w:tcW w:w="1024" w:type="dxa"/>
            <w:tcBorders>
              <w:top w:val="single" w:sz="8" w:space="0" w:color="152935"/>
              <w:left w:val="nil"/>
              <w:bottom w:val="single" w:sz="8" w:space="0" w:color="AEAEAE"/>
              <w:right w:val="single" w:sz="8" w:space="0" w:color="E0E0E0"/>
            </w:tcBorders>
            <w:shd w:val="clear" w:color="auto" w:fill="FFFFFF"/>
          </w:tcPr>
          <w:p w:rsidR="00FA1638" w:rsidRPr="00FA1638" w:rsidRDefault="00FA1638" w:rsidP="00952623">
            <w:pPr>
              <w:autoSpaceDE w:val="0"/>
              <w:autoSpaceDN w:val="0"/>
              <w:adjustRightInd w:val="0"/>
              <w:spacing w:after="0" w:line="480" w:lineRule="auto"/>
              <w:ind w:left="60" w:right="60"/>
              <w:jc w:val="right"/>
              <w:rPr>
                <w:rFonts w:ascii="Arial" w:hAnsi="Arial" w:cs="Arial"/>
                <w:color w:val="010205"/>
                <w:sz w:val="18"/>
                <w:szCs w:val="18"/>
              </w:rPr>
            </w:pPr>
            <w:r w:rsidRPr="00FA1638">
              <w:rPr>
                <w:rFonts w:ascii="Arial" w:hAnsi="Arial" w:cs="Arial"/>
                <w:color w:val="010205"/>
                <w:sz w:val="18"/>
                <w:szCs w:val="18"/>
              </w:rPr>
              <w:t>79668</w:t>
            </w:r>
          </w:p>
        </w:tc>
        <w:tc>
          <w:tcPr>
            <w:tcW w:w="1024" w:type="dxa"/>
            <w:tcBorders>
              <w:top w:val="single" w:sz="8" w:space="0" w:color="152935"/>
              <w:left w:val="single" w:sz="8" w:space="0" w:color="E0E0E0"/>
              <w:bottom w:val="single" w:sz="8" w:space="0" w:color="AEAEAE"/>
              <w:right w:val="nil"/>
            </w:tcBorders>
            <w:shd w:val="clear" w:color="auto" w:fill="FFFFFF"/>
          </w:tcPr>
          <w:p w:rsidR="00FA1638" w:rsidRPr="00FA1638" w:rsidRDefault="00FA1638" w:rsidP="00952623">
            <w:pPr>
              <w:autoSpaceDE w:val="0"/>
              <w:autoSpaceDN w:val="0"/>
              <w:adjustRightInd w:val="0"/>
              <w:spacing w:after="0" w:line="480" w:lineRule="auto"/>
              <w:ind w:left="60" w:right="60"/>
              <w:jc w:val="right"/>
              <w:rPr>
                <w:rFonts w:ascii="Arial" w:hAnsi="Arial" w:cs="Arial"/>
                <w:color w:val="010205"/>
                <w:sz w:val="18"/>
                <w:szCs w:val="18"/>
              </w:rPr>
            </w:pPr>
            <w:r w:rsidRPr="00FA1638">
              <w:rPr>
                <w:rFonts w:ascii="Arial" w:hAnsi="Arial" w:cs="Arial"/>
                <w:color w:val="010205"/>
                <w:sz w:val="18"/>
                <w:szCs w:val="18"/>
              </w:rPr>
              <w:t>100.0%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FA1638" w:rsidRPr="00FA1638" w:rsidRDefault="00FA1638" w:rsidP="00952623">
            <w:pPr>
              <w:autoSpaceDE w:val="0"/>
              <w:autoSpaceDN w:val="0"/>
              <w:adjustRightInd w:val="0"/>
              <w:spacing w:after="0" w:line="480" w:lineRule="auto"/>
              <w:ind w:left="60" w:right="60"/>
              <w:jc w:val="right"/>
              <w:rPr>
                <w:rFonts w:ascii="Arial" w:hAnsi="Arial" w:cs="Arial"/>
                <w:color w:val="010205"/>
                <w:sz w:val="18"/>
                <w:szCs w:val="18"/>
              </w:rPr>
            </w:pPr>
            <w:r w:rsidRPr="00FA1638">
              <w:rPr>
                <w:rFonts w:ascii="Arial" w:hAnsi="Arial" w:cs="Arial"/>
                <w:color w:val="010205"/>
                <w:sz w:val="18"/>
                <w:szCs w:val="18"/>
              </w:rPr>
              <w:t>0</w:t>
            </w:r>
          </w:p>
        </w:tc>
        <w:tc>
          <w:tcPr>
            <w:tcW w:w="1024" w:type="dxa"/>
            <w:tcBorders>
              <w:top w:val="single" w:sz="8" w:space="0" w:color="152935"/>
              <w:left w:val="single" w:sz="8" w:space="0" w:color="E0E0E0"/>
              <w:bottom w:val="single" w:sz="8" w:space="0" w:color="AEAEAE"/>
              <w:right w:val="nil"/>
            </w:tcBorders>
            <w:shd w:val="clear" w:color="auto" w:fill="FFFFFF"/>
          </w:tcPr>
          <w:p w:rsidR="00FA1638" w:rsidRPr="00FA1638" w:rsidRDefault="00FA1638" w:rsidP="00952623">
            <w:pPr>
              <w:autoSpaceDE w:val="0"/>
              <w:autoSpaceDN w:val="0"/>
              <w:adjustRightInd w:val="0"/>
              <w:spacing w:after="0" w:line="480" w:lineRule="auto"/>
              <w:ind w:left="60" w:right="60"/>
              <w:jc w:val="right"/>
              <w:rPr>
                <w:rFonts w:ascii="Arial" w:hAnsi="Arial" w:cs="Arial"/>
                <w:color w:val="010205"/>
                <w:sz w:val="18"/>
                <w:szCs w:val="18"/>
              </w:rPr>
            </w:pPr>
            <w:r w:rsidRPr="00FA1638">
              <w:rPr>
                <w:rFonts w:ascii="Arial" w:hAnsi="Arial" w:cs="Arial"/>
                <w:color w:val="010205"/>
                <w:sz w:val="18"/>
                <w:szCs w:val="18"/>
              </w:rPr>
              <w:t>0.0%</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FA1638" w:rsidRPr="00FA1638" w:rsidRDefault="00FA1638" w:rsidP="00952623">
            <w:pPr>
              <w:autoSpaceDE w:val="0"/>
              <w:autoSpaceDN w:val="0"/>
              <w:adjustRightInd w:val="0"/>
              <w:spacing w:after="0" w:line="480" w:lineRule="auto"/>
              <w:ind w:left="60" w:right="60"/>
              <w:jc w:val="right"/>
              <w:rPr>
                <w:rFonts w:ascii="Arial" w:hAnsi="Arial" w:cs="Arial"/>
                <w:color w:val="010205"/>
                <w:sz w:val="18"/>
                <w:szCs w:val="18"/>
              </w:rPr>
            </w:pPr>
            <w:r w:rsidRPr="00FA1638">
              <w:rPr>
                <w:rFonts w:ascii="Arial" w:hAnsi="Arial" w:cs="Arial"/>
                <w:color w:val="010205"/>
                <w:sz w:val="18"/>
                <w:szCs w:val="18"/>
              </w:rPr>
              <w:t>79668</w:t>
            </w:r>
          </w:p>
        </w:tc>
        <w:tc>
          <w:tcPr>
            <w:tcW w:w="1024" w:type="dxa"/>
            <w:tcBorders>
              <w:top w:val="single" w:sz="8" w:space="0" w:color="152935"/>
              <w:left w:val="single" w:sz="8" w:space="0" w:color="E0E0E0"/>
              <w:bottom w:val="single" w:sz="8" w:space="0" w:color="AEAEAE"/>
              <w:right w:val="nil"/>
            </w:tcBorders>
            <w:shd w:val="clear" w:color="auto" w:fill="FFFFFF"/>
          </w:tcPr>
          <w:p w:rsidR="00FA1638" w:rsidRPr="00FA1638" w:rsidRDefault="00FA1638" w:rsidP="00952623">
            <w:pPr>
              <w:autoSpaceDE w:val="0"/>
              <w:autoSpaceDN w:val="0"/>
              <w:adjustRightInd w:val="0"/>
              <w:spacing w:after="0" w:line="480" w:lineRule="auto"/>
              <w:ind w:left="60" w:right="60"/>
              <w:jc w:val="right"/>
              <w:rPr>
                <w:rFonts w:ascii="Arial" w:hAnsi="Arial" w:cs="Arial"/>
                <w:color w:val="010205"/>
                <w:sz w:val="18"/>
                <w:szCs w:val="18"/>
              </w:rPr>
            </w:pPr>
            <w:r w:rsidRPr="00FA1638">
              <w:rPr>
                <w:rFonts w:ascii="Arial" w:hAnsi="Arial" w:cs="Arial"/>
                <w:color w:val="010205"/>
                <w:sz w:val="18"/>
                <w:szCs w:val="18"/>
              </w:rPr>
              <w:t>100.0%</w:t>
            </w:r>
          </w:p>
        </w:tc>
      </w:tr>
      <w:tr w:rsidR="00FA1638" w:rsidRPr="00FA1638">
        <w:trPr>
          <w:cantSplit/>
        </w:trPr>
        <w:tc>
          <w:tcPr>
            <w:tcW w:w="2447" w:type="dxa"/>
            <w:tcBorders>
              <w:top w:val="single" w:sz="8" w:space="0" w:color="AEAEAE"/>
              <w:left w:val="nil"/>
              <w:bottom w:val="single" w:sz="8" w:space="0" w:color="152935"/>
              <w:right w:val="nil"/>
            </w:tcBorders>
            <w:shd w:val="clear" w:color="auto" w:fill="E0E0E0"/>
          </w:tcPr>
          <w:p w:rsidR="00FA1638" w:rsidRPr="00FA1638" w:rsidRDefault="00FA1638" w:rsidP="00952623">
            <w:pPr>
              <w:autoSpaceDE w:val="0"/>
              <w:autoSpaceDN w:val="0"/>
              <w:adjustRightInd w:val="0"/>
              <w:spacing w:after="0" w:line="480" w:lineRule="auto"/>
              <w:ind w:left="60" w:right="60"/>
              <w:rPr>
                <w:rFonts w:ascii="Arial" w:hAnsi="Arial" w:cs="Arial"/>
                <w:color w:val="264A60"/>
                <w:sz w:val="18"/>
                <w:szCs w:val="18"/>
              </w:rPr>
            </w:pPr>
            <w:r w:rsidRPr="00FA1638">
              <w:rPr>
                <w:rFonts w:ascii="Arial" w:hAnsi="Arial" w:cs="Arial"/>
                <w:color w:val="264A60"/>
                <w:sz w:val="18"/>
                <w:szCs w:val="18"/>
              </w:rPr>
              <w:t>NUMBER OF DAYS PHYSICAL HEALTH NOT GOOD</w:t>
            </w:r>
          </w:p>
        </w:tc>
        <w:tc>
          <w:tcPr>
            <w:tcW w:w="1024" w:type="dxa"/>
            <w:tcBorders>
              <w:top w:val="single" w:sz="8" w:space="0" w:color="AEAEAE"/>
              <w:left w:val="nil"/>
              <w:bottom w:val="single" w:sz="8" w:space="0" w:color="152935"/>
              <w:right w:val="single" w:sz="8" w:space="0" w:color="E0E0E0"/>
            </w:tcBorders>
            <w:shd w:val="clear" w:color="auto" w:fill="FFFFFF"/>
          </w:tcPr>
          <w:p w:rsidR="00FA1638" w:rsidRPr="00FA1638" w:rsidRDefault="00FA1638" w:rsidP="00952623">
            <w:pPr>
              <w:autoSpaceDE w:val="0"/>
              <w:autoSpaceDN w:val="0"/>
              <w:adjustRightInd w:val="0"/>
              <w:spacing w:after="0" w:line="480" w:lineRule="auto"/>
              <w:ind w:left="60" w:right="60"/>
              <w:jc w:val="right"/>
              <w:rPr>
                <w:rFonts w:ascii="Arial" w:hAnsi="Arial" w:cs="Arial"/>
                <w:color w:val="010205"/>
                <w:sz w:val="18"/>
                <w:szCs w:val="18"/>
              </w:rPr>
            </w:pPr>
            <w:r w:rsidRPr="00FA1638">
              <w:rPr>
                <w:rFonts w:ascii="Arial" w:hAnsi="Arial" w:cs="Arial"/>
                <w:color w:val="010205"/>
                <w:sz w:val="18"/>
                <w:szCs w:val="18"/>
              </w:rPr>
              <w:t>79668</w:t>
            </w:r>
          </w:p>
        </w:tc>
        <w:tc>
          <w:tcPr>
            <w:tcW w:w="1024" w:type="dxa"/>
            <w:tcBorders>
              <w:top w:val="single" w:sz="8" w:space="0" w:color="AEAEAE"/>
              <w:left w:val="single" w:sz="8" w:space="0" w:color="E0E0E0"/>
              <w:bottom w:val="single" w:sz="8" w:space="0" w:color="152935"/>
              <w:right w:val="nil"/>
            </w:tcBorders>
            <w:shd w:val="clear" w:color="auto" w:fill="FFFFFF"/>
          </w:tcPr>
          <w:p w:rsidR="00FA1638" w:rsidRPr="00FA1638" w:rsidRDefault="00FA1638" w:rsidP="00952623">
            <w:pPr>
              <w:autoSpaceDE w:val="0"/>
              <w:autoSpaceDN w:val="0"/>
              <w:adjustRightInd w:val="0"/>
              <w:spacing w:after="0" w:line="480" w:lineRule="auto"/>
              <w:ind w:left="60" w:right="60"/>
              <w:jc w:val="right"/>
              <w:rPr>
                <w:rFonts w:ascii="Arial" w:hAnsi="Arial" w:cs="Arial"/>
                <w:color w:val="010205"/>
                <w:sz w:val="18"/>
                <w:szCs w:val="18"/>
              </w:rPr>
            </w:pPr>
            <w:r w:rsidRPr="00FA1638">
              <w:rPr>
                <w:rFonts w:ascii="Arial" w:hAnsi="Arial" w:cs="Arial"/>
                <w:color w:val="010205"/>
                <w:sz w:val="18"/>
                <w:szCs w:val="18"/>
              </w:rPr>
              <w:t>100.0%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FA1638" w:rsidRPr="00FA1638" w:rsidRDefault="00FA1638" w:rsidP="00952623">
            <w:pPr>
              <w:autoSpaceDE w:val="0"/>
              <w:autoSpaceDN w:val="0"/>
              <w:adjustRightInd w:val="0"/>
              <w:spacing w:after="0" w:line="480" w:lineRule="auto"/>
              <w:ind w:left="60" w:right="60"/>
              <w:jc w:val="right"/>
              <w:rPr>
                <w:rFonts w:ascii="Arial" w:hAnsi="Arial" w:cs="Arial"/>
                <w:color w:val="010205"/>
                <w:sz w:val="18"/>
                <w:szCs w:val="18"/>
              </w:rPr>
            </w:pPr>
            <w:r w:rsidRPr="00FA1638">
              <w:rPr>
                <w:rFonts w:ascii="Arial" w:hAnsi="Arial" w:cs="Arial"/>
                <w:color w:val="010205"/>
                <w:sz w:val="18"/>
                <w:szCs w:val="18"/>
              </w:rPr>
              <w:t>0</w:t>
            </w:r>
          </w:p>
        </w:tc>
        <w:tc>
          <w:tcPr>
            <w:tcW w:w="1024" w:type="dxa"/>
            <w:tcBorders>
              <w:top w:val="single" w:sz="8" w:space="0" w:color="AEAEAE"/>
              <w:left w:val="single" w:sz="8" w:space="0" w:color="E0E0E0"/>
              <w:bottom w:val="single" w:sz="8" w:space="0" w:color="152935"/>
              <w:right w:val="nil"/>
            </w:tcBorders>
            <w:shd w:val="clear" w:color="auto" w:fill="FFFFFF"/>
          </w:tcPr>
          <w:p w:rsidR="00FA1638" w:rsidRPr="00FA1638" w:rsidRDefault="00FA1638" w:rsidP="00952623">
            <w:pPr>
              <w:autoSpaceDE w:val="0"/>
              <w:autoSpaceDN w:val="0"/>
              <w:adjustRightInd w:val="0"/>
              <w:spacing w:after="0" w:line="480" w:lineRule="auto"/>
              <w:ind w:left="60" w:right="60"/>
              <w:jc w:val="right"/>
              <w:rPr>
                <w:rFonts w:ascii="Arial" w:hAnsi="Arial" w:cs="Arial"/>
                <w:color w:val="010205"/>
                <w:sz w:val="18"/>
                <w:szCs w:val="18"/>
              </w:rPr>
            </w:pPr>
            <w:r w:rsidRPr="00FA1638">
              <w:rPr>
                <w:rFonts w:ascii="Arial" w:hAnsi="Arial" w:cs="Arial"/>
                <w:color w:val="010205"/>
                <w:sz w:val="18"/>
                <w:szCs w:val="18"/>
              </w:rPr>
              <w:t>0.0%</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FA1638" w:rsidRPr="00FA1638" w:rsidRDefault="00FA1638" w:rsidP="00952623">
            <w:pPr>
              <w:autoSpaceDE w:val="0"/>
              <w:autoSpaceDN w:val="0"/>
              <w:adjustRightInd w:val="0"/>
              <w:spacing w:after="0" w:line="480" w:lineRule="auto"/>
              <w:ind w:left="60" w:right="60"/>
              <w:jc w:val="right"/>
              <w:rPr>
                <w:rFonts w:ascii="Arial" w:hAnsi="Arial" w:cs="Arial"/>
                <w:color w:val="010205"/>
                <w:sz w:val="18"/>
                <w:szCs w:val="18"/>
              </w:rPr>
            </w:pPr>
            <w:r w:rsidRPr="00FA1638">
              <w:rPr>
                <w:rFonts w:ascii="Arial" w:hAnsi="Arial" w:cs="Arial"/>
                <w:color w:val="010205"/>
                <w:sz w:val="18"/>
                <w:szCs w:val="18"/>
              </w:rPr>
              <w:t>79668</w:t>
            </w:r>
          </w:p>
        </w:tc>
        <w:tc>
          <w:tcPr>
            <w:tcW w:w="1024" w:type="dxa"/>
            <w:tcBorders>
              <w:top w:val="single" w:sz="8" w:space="0" w:color="AEAEAE"/>
              <w:left w:val="single" w:sz="8" w:space="0" w:color="E0E0E0"/>
              <w:bottom w:val="single" w:sz="8" w:space="0" w:color="152935"/>
              <w:right w:val="nil"/>
            </w:tcBorders>
            <w:shd w:val="clear" w:color="auto" w:fill="FFFFFF"/>
          </w:tcPr>
          <w:p w:rsidR="00FA1638" w:rsidRPr="00FA1638" w:rsidRDefault="00FA1638" w:rsidP="00952623">
            <w:pPr>
              <w:autoSpaceDE w:val="0"/>
              <w:autoSpaceDN w:val="0"/>
              <w:adjustRightInd w:val="0"/>
              <w:spacing w:after="0" w:line="480" w:lineRule="auto"/>
              <w:ind w:left="60" w:right="60"/>
              <w:jc w:val="right"/>
              <w:rPr>
                <w:rFonts w:ascii="Arial" w:hAnsi="Arial" w:cs="Arial"/>
                <w:color w:val="010205"/>
                <w:sz w:val="18"/>
                <w:szCs w:val="18"/>
              </w:rPr>
            </w:pPr>
            <w:r w:rsidRPr="00FA1638">
              <w:rPr>
                <w:rFonts w:ascii="Arial" w:hAnsi="Arial" w:cs="Arial"/>
                <w:color w:val="010205"/>
                <w:sz w:val="18"/>
                <w:szCs w:val="18"/>
              </w:rPr>
              <w:t>100.0%</w:t>
            </w:r>
          </w:p>
        </w:tc>
      </w:tr>
    </w:tbl>
    <w:p w:rsidR="00FA1638" w:rsidRPr="00FA1638" w:rsidRDefault="00FA1638" w:rsidP="00952623">
      <w:pPr>
        <w:autoSpaceDE w:val="0"/>
        <w:autoSpaceDN w:val="0"/>
        <w:adjustRightInd w:val="0"/>
        <w:spacing w:after="0" w:line="480" w:lineRule="auto"/>
        <w:rPr>
          <w:rFonts w:ascii="Times New Roman" w:hAnsi="Times New Roman" w:cs="Times New Roman"/>
          <w:sz w:val="24"/>
          <w:szCs w:val="24"/>
        </w:rPr>
      </w:pPr>
    </w:p>
    <w:p w:rsidR="00FA1638" w:rsidRDefault="00FA1638" w:rsidP="00952623">
      <w:pPr>
        <w:spacing w:line="480" w:lineRule="auto"/>
        <w:rPr>
          <w:b/>
        </w:rPr>
      </w:pPr>
      <w:r>
        <w:rPr>
          <w:b/>
        </w:rPr>
        <w:t>Table 2 Descriptives</w:t>
      </w:r>
    </w:p>
    <w:p w:rsidR="00FA1638" w:rsidRPr="00FA1638" w:rsidRDefault="00FA1638" w:rsidP="00952623">
      <w:pPr>
        <w:autoSpaceDE w:val="0"/>
        <w:autoSpaceDN w:val="0"/>
        <w:adjustRightInd w:val="0"/>
        <w:spacing w:after="0" w:line="480" w:lineRule="auto"/>
        <w:rPr>
          <w:rFonts w:ascii="Times New Roman" w:hAnsi="Times New Roman" w:cs="Times New Roman"/>
          <w:sz w:val="24"/>
          <w:szCs w:val="24"/>
        </w:rPr>
      </w:pPr>
    </w:p>
    <w:tbl>
      <w:tblPr>
        <w:tblW w:w="83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8"/>
        <w:gridCol w:w="2448"/>
        <w:gridCol w:w="1408"/>
        <w:gridCol w:w="1024"/>
        <w:gridCol w:w="1070"/>
      </w:tblGrid>
      <w:tr w:rsidR="00FA1638" w:rsidRPr="00FA1638">
        <w:trPr>
          <w:cantSplit/>
        </w:trPr>
        <w:tc>
          <w:tcPr>
            <w:tcW w:w="8395" w:type="dxa"/>
            <w:gridSpan w:val="5"/>
            <w:tcBorders>
              <w:top w:val="nil"/>
              <w:left w:val="nil"/>
              <w:bottom w:val="nil"/>
              <w:right w:val="nil"/>
            </w:tcBorders>
            <w:shd w:val="clear" w:color="auto" w:fill="FFFFFF"/>
            <w:vAlign w:val="center"/>
          </w:tcPr>
          <w:p w:rsidR="00FA1638" w:rsidRPr="00FA1638" w:rsidRDefault="00FA1638" w:rsidP="00952623">
            <w:pPr>
              <w:autoSpaceDE w:val="0"/>
              <w:autoSpaceDN w:val="0"/>
              <w:adjustRightInd w:val="0"/>
              <w:spacing w:after="0" w:line="480" w:lineRule="auto"/>
              <w:ind w:left="60" w:right="60"/>
              <w:jc w:val="center"/>
              <w:rPr>
                <w:rFonts w:ascii="Arial" w:hAnsi="Arial" w:cs="Arial"/>
                <w:color w:val="010205"/>
              </w:rPr>
            </w:pPr>
            <w:r w:rsidRPr="00FA1638">
              <w:rPr>
                <w:rFonts w:ascii="Arial" w:hAnsi="Arial" w:cs="Arial"/>
                <w:b/>
                <w:bCs/>
                <w:color w:val="010205"/>
              </w:rPr>
              <w:t>Descriptives</w:t>
            </w:r>
          </w:p>
        </w:tc>
      </w:tr>
      <w:tr w:rsidR="00FA1638" w:rsidRPr="00FA1638">
        <w:trPr>
          <w:cantSplit/>
        </w:trPr>
        <w:tc>
          <w:tcPr>
            <w:tcW w:w="6301" w:type="dxa"/>
            <w:gridSpan w:val="3"/>
            <w:tcBorders>
              <w:top w:val="nil"/>
              <w:left w:val="nil"/>
              <w:bottom w:val="single" w:sz="8" w:space="0" w:color="152935"/>
              <w:right w:val="nil"/>
            </w:tcBorders>
            <w:shd w:val="clear" w:color="auto" w:fill="FFFFFF"/>
            <w:vAlign w:val="bottom"/>
          </w:tcPr>
          <w:p w:rsidR="00FA1638" w:rsidRPr="00FA1638" w:rsidRDefault="00FA1638" w:rsidP="00952623">
            <w:pPr>
              <w:autoSpaceDE w:val="0"/>
              <w:autoSpaceDN w:val="0"/>
              <w:adjustRightInd w:val="0"/>
              <w:spacing w:after="0" w:line="480" w:lineRule="auto"/>
              <w:rPr>
                <w:rFonts w:ascii="Times New Roman" w:hAnsi="Times New Roman" w:cs="Times New Roman"/>
                <w:sz w:val="24"/>
                <w:szCs w:val="24"/>
              </w:rPr>
            </w:pPr>
          </w:p>
        </w:tc>
        <w:tc>
          <w:tcPr>
            <w:tcW w:w="1024" w:type="dxa"/>
            <w:tcBorders>
              <w:top w:val="nil"/>
              <w:left w:val="nil"/>
              <w:bottom w:val="single" w:sz="8" w:space="0" w:color="152935"/>
              <w:right w:val="single" w:sz="8" w:space="0" w:color="E0E0E0"/>
            </w:tcBorders>
            <w:shd w:val="clear" w:color="auto" w:fill="FFFFFF"/>
            <w:vAlign w:val="bottom"/>
          </w:tcPr>
          <w:p w:rsidR="00FA1638" w:rsidRPr="00FA1638" w:rsidRDefault="00FA1638" w:rsidP="00952623">
            <w:pPr>
              <w:autoSpaceDE w:val="0"/>
              <w:autoSpaceDN w:val="0"/>
              <w:adjustRightInd w:val="0"/>
              <w:spacing w:after="0" w:line="480" w:lineRule="auto"/>
              <w:ind w:left="60" w:right="60"/>
              <w:jc w:val="center"/>
              <w:rPr>
                <w:rFonts w:ascii="Arial" w:hAnsi="Arial" w:cs="Arial"/>
                <w:color w:val="264A60"/>
                <w:sz w:val="18"/>
                <w:szCs w:val="18"/>
              </w:rPr>
            </w:pPr>
            <w:r w:rsidRPr="00FA1638">
              <w:rPr>
                <w:rFonts w:ascii="Arial" w:hAnsi="Arial" w:cs="Arial"/>
                <w:color w:val="264A60"/>
                <w:sz w:val="18"/>
                <w:szCs w:val="18"/>
              </w:rPr>
              <w:t>Statistic</w:t>
            </w:r>
          </w:p>
        </w:tc>
        <w:tc>
          <w:tcPr>
            <w:tcW w:w="1070" w:type="dxa"/>
            <w:tcBorders>
              <w:top w:val="nil"/>
              <w:left w:val="single" w:sz="8" w:space="0" w:color="E0E0E0"/>
              <w:bottom w:val="single" w:sz="8" w:space="0" w:color="152935"/>
              <w:right w:val="nil"/>
            </w:tcBorders>
            <w:shd w:val="clear" w:color="auto" w:fill="FFFFFF"/>
            <w:vAlign w:val="bottom"/>
          </w:tcPr>
          <w:p w:rsidR="00FA1638" w:rsidRPr="00FA1638" w:rsidRDefault="00FA1638" w:rsidP="00952623">
            <w:pPr>
              <w:autoSpaceDE w:val="0"/>
              <w:autoSpaceDN w:val="0"/>
              <w:adjustRightInd w:val="0"/>
              <w:spacing w:after="0" w:line="480" w:lineRule="auto"/>
              <w:ind w:left="60" w:right="60"/>
              <w:jc w:val="center"/>
              <w:rPr>
                <w:rFonts w:ascii="Arial" w:hAnsi="Arial" w:cs="Arial"/>
                <w:color w:val="264A60"/>
                <w:sz w:val="18"/>
                <w:szCs w:val="18"/>
              </w:rPr>
            </w:pPr>
            <w:r w:rsidRPr="00FA1638">
              <w:rPr>
                <w:rFonts w:ascii="Arial" w:hAnsi="Arial" w:cs="Arial"/>
                <w:color w:val="264A60"/>
                <w:sz w:val="18"/>
                <w:szCs w:val="18"/>
              </w:rPr>
              <w:t>Std. Error</w:t>
            </w:r>
          </w:p>
        </w:tc>
      </w:tr>
      <w:tr w:rsidR="00FA1638" w:rsidRPr="00FA1638">
        <w:trPr>
          <w:cantSplit/>
        </w:trPr>
        <w:tc>
          <w:tcPr>
            <w:tcW w:w="2447" w:type="dxa"/>
            <w:vMerge w:val="restart"/>
            <w:tcBorders>
              <w:top w:val="single" w:sz="8" w:space="0" w:color="152935"/>
              <w:left w:val="nil"/>
              <w:bottom w:val="nil"/>
              <w:right w:val="nil"/>
            </w:tcBorders>
            <w:shd w:val="clear" w:color="auto" w:fill="E0E0E0"/>
          </w:tcPr>
          <w:p w:rsidR="00FA1638" w:rsidRPr="00FA1638" w:rsidRDefault="00FA1638" w:rsidP="00952623">
            <w:pPr>
              <w:autoSpaceDE w:val="0"/>
              <w:autoSpaceDN w:val="0"/>
              <w:adjustRightInd w:val="0"/>
              <w:spacing w:after="0" w:line="480" w:lineRule="auto"/>
              <w:ind w:left="60" w:right="60"/>
              <w:rPr>
                <w:rFonts w:ascii="Arial" w:hAnsi="Arial" w:cs="Arial"/>
                <w:color w:val="264A60"/>
                <w:sz w:val="18"/>
                <w:szCs w:val="18"/>
              </w:rPr>
            </w:pPr>
            <w:r w:rsidRPr="00FA1638">
              <w:rPr>
                <w:rFonts w:ascii="Arial" w:hAnsi="Arial" w:cs="Arial"/>
                <w:color w:val="264A60"/>
                <w:sz w:val="18"/>
                <w:szCs w:val="18"/>
              </w:rPr>
              <w:t>NUMBER OF DAYS MENTAL HEALTH NOT GOOD</w:t>
            </w:r>
          </w:p>
        </w:tc>
        <w:tc>
          <w:tcPr>
            <w:tcW w:w="3854" w:type="dxa"/>
            <w:gridSpan w:val="2"/>
            <w:tcBorders>
              <w:top w:val="single" w:sz="8" w:space="0" w:color="152935"/>
              <w:left w:val="nil"/>
              <w:bottom w:val="nil"/>
              <w:right w:val="nil"/>
            </w:tcBorders>
            <w:shd w:val="clear" w:color="auto" w:fill="E0E0E0"/>
          </w:tcPr>
          <w:p w:rsidR="00FA1638" w:rsidRPr="00FA1638" w:rsidRDefault="00FA1638" w:rsidP="00952623">
            <w:pPr>
              <w:autoSpaceDE w:val="0"/>
              <w:autoSpaceDN w:val="0"/>
              <w:adjustRightInd w:val="0"/>
              <w:spacing w:after="0" w:line="480" w:lineRule="auto"/>
              <w:ind w:left="60" w:right="60"/>
              <w:rPr>
                <w:rFonts w:ascii="Arial" w:hAnsi="Arial" w:cs="Arial"/>
                <w:color w:val="264A60"/>
                <w:sz w:val="18"/>
                <w:szCs w:val="18"/>
              </w:rPr>
            </w:pPr>
            <w:r w:rsidRPr="00FA1638">
              <w:rPr>
                <w:rFonts w:ascii="Arial" w:hAnsi="Arial" w:cs="Arial"/>
                <w:color w:val="264A60"/>
                <w:sz w:val="18"/>
                <w:szCs w:val="18"/>
              </w:rPr>
              <w:t>Mean</w:t>
            </w:r>
          </w:p>
        </w:tc>
        <w:tc>
          <w:tcPr>
            <w:tcW w:w="1024" w:type="dxa"/>
            <w:tcBorders>
              <w:top w:val="single" w:sz="8" w:space="0" w:color="152935"/>
              <w:left w:val="nil"/>
              <w:bottom w:val="nil"/>
              <w:right w:val="single" w:sz="8" w:space="0" w:color="E0E0E0"/>
            </w:tcBorders>
            <w:shd w:val="clear" w:color="auto" w:fill="FFFFFF"/>
          </w:tcPr>
          <w:p w:rsidR="00FA1638" w:rsidRPr="00FA1638" w:rsidRDefault="00FA1638" w:rsidP="00952623">
            <w:pPr>
              <w:autoSpaceDE w:val="0"/>
              <w:autoSpaceDN w:val="0"/>
              <w:adjustRightInd w:val="0"/>
              <w:spacing w:after="0" w:line="480" w:lineRule="auto"/>
              <w:ind w:left="60" w:right="60"/>
              <w:jc w:val="right"/>
              <w:rPr>
                <w:rFonts w:ascii="Arial" w:hAnsi="Arial" w:cs="Arial"/>
                <w:color w:val="010205"/>
                <w:sz w:val="18"/>
                <w:szCs w:val="18"/>
              </w:rPr>
            </w:pPr>
            <w:r w:rsidRPr="00FA1638">
              <w:rPr>
                <w:rFonts w:ascii="Arial" w:hAnsi="Arial" w:cs="Arial"/>
                <w:color w:val="010205"/>
                <w:sz w:val="18"/>
                <w:szCs w:val="18"/>
              </w:rPr>
              <w:t>12.85</w:t>
            </w:r>
          </w:p>
        </w:tc>
        <w:tc>
          <w:tcPr>
            <w:tcW w:w="1070" w:type="dxa"/>
            <w:tcBorders>
              <w:top w:val="single" w:sz="8" w:space="0" w:color="152935"/>
              <w:left w:val="single" w:sz="8" w:space="0" w:color="E0E0E0"/>
              <w:bottom w:val="nil"/>
              <w:right w:val="nil"/>
            </w:tcBorders>
            <w:shd w:val="clear" w:color="auto" w:fill="FFFFFF"/>
          </w:tcPr>
          <w:p w:rsidR="00FA1638" w:rsidRPr="00FA1638" w:rsidRDefault="00FA1638" w:rsidP="00952623">
            <w:pPr>
              <w:autoSpaceDE w:val="0"/>
              <w:autoSpaceDN w:val="0"/>
              <w:adjustRightInd w:val="0"/>
              <w:spacing w:after="0" w:line="480" w:lineRule="auto"/>
              <w:ind w:left="60" w:right="60"/>
              <w:jc w:val="right"/>
              <w:rPr>
                <w:rFonts w:ascii="Arial" w:hAnsi="Arial" w:cs="Arial"/>
                <w:color w:val="010205"/>
                <w:sz w:val="18"/>
                <w:szCs w:val="18"/>
              </w:rPr>
            </w:pPr>
            <w:r w:rsidRPr="00FA1638">
              <w:rPr>
                <w:rFonts w:ascii="Arial" w:hAnsi="Arial" w:cs="Arial"/>
                <w:color w:val="010205"/>
                <w:sz w:val="18"/>
                <w:szCs w:val="18"/>
              </w:rPr>
              <w:t>.039</w:t>
            </w:r>
          </w:p>
        </w:tc>
      </w:tr>
      <w:tr w:rsidR="00FA1638" w:rsidRPr="00FA1638">
        <w:trPr>
          <w:cantSplit/>
        </w:trPr>
        <w:tc>
          <w:tcPr>
            <w:tcW w:w="2447" w:type="dxa"/>
            <w:vMerge/>
            <w:tcBorders>
              <w:top w:val="single" w:sz="8" w:space="0" w:color="152935"/>
              <w:left w:val="nil"/>
              <w:bottom w:val="nil"/>
              <w:right w:val="nil"/>
            </w:tcBorders>
            <w:shd w:val="clear" w:color="auto" w:fill="E0E0E0"/>
          </w:tcPr>
          <w:p w:rsidR="00FA1638" w:rsidRPr="00FA1638" w:rsidRDefault="00FA1638" w:rsidP="00952623">
            <w:pPr>
              <w:autoSpaceDE w:val="0"/>
              <w:autoSpaceDN w:val="0"/>
              <w:adjustRightInd w:val="0"/>
              <w:spacing w:after="0" w:line="480" w:lineRule="auto"/>
              <w:rPr>
                <w:rFonts w:ascii="Arial" w:hAnsi="Arial" w:cs="Arial"/>
                <w:color w:val="010205"/>
                <w:sz w:val="18"/>
                <w:szCs w:val="18"/>
              </w:rPr>
            </w:pPr>
          </w:p>
        </w:tc>
        <w:tc>
          <w:tcPr>
            <w:tcW w:w="2447" w:type="dxa"/>
            <w:vMerge w:val="restart"/>
            <w:tcBorders>
              <w:top w:val="single" w:sz="8" w:space="0" w:color="AEAEAE"/>
              <w:left w:val="nil"/>
              <w:bottom w:val="nil"/>
              <w:right w:val="nil"/>
            </w:tcBorders>
            <w:shd w:val="clear" w:color="auto" w:fill="E0E0E0"/>
          </w:tcPr>
          <w:p w:rsidR="00FA1638" w:rsidRPr="00FA1638" w:rsidRDefault="00FA1638" w:rsidP="00952623">
            <w:pPr>
              <w:autoSpaceDE w:val="0"/>
              <w:autoSpaceDN w:val="0"/>
              <w:adjustRightInd w:val="0"/>
              <w:spacing w:after="0" w:line="480" w:lineRule="auto"/>
              <w:ind w:left="60" w:right="60"/>
              <w:rPr>
                <w:rFonts w:ascii="Arial" w:hAnsi="Arial" w:cs="Arial"/>
                <w:color w:val="264A60"/>
                <w:sz w:val="18"/>
                <w:szCs w:val="18"/>
              </w:rPr>
            </w:pPr>
            <w:r w:rsidRPr="00FA1638">
              <w:rPr>
                <w:rFonts w:ascii="Arial" w:hAnsi="Arial" w:cs="Arial"/>
                <w:color w:val="264A60"/>
                <w:sz w:val="18"/>
                <w:szCs w:val="18"/>
              </w:rPr>
              <w:t>95% Confidence Interval for Mean</w:t>
            </w:r>
          </w:p>
        </w:tc>
        <w:tc>
          <w:tcPr>
            <w:tcW w:w="1407" w:type="dxa"/>
            <w:tcBorders>
              <w:top w:val="single" w:sz="8" w:space="0" w:color="AEAEAE"/>
              <w:left w:val="nil"/>
              <w:bottom w:val="single" w:sz="8" w:space="0" w:color="AEAEAE"/>
              <w:right w:val="nil"/>
            </w:tcBorders>
            <w:shd w:val="clear" w:color="auto" w:fill="E0E0E0"/>
          </w:tcPr>
          <w:p w:rsidR="00FA1638" w:rsidRPr="00FA1638" w:rsidRDefault="00FA1638" w:rsidP="00952623">
            <w:pPr>
              <w:autoSpaceDE w:val="0"/>
              <w:autoSpaceDN w:val="0"/>
              <w:adjustRightInd w:val="0"/>
              <w:spacing w:after="0" w:line="480" w:lineRule="auto"/>
              <w:ind w:left="60" w:right="60"/>
              <w:rPr>
                <w:rFonts w:ascii="Arial" w:hAnsi="Arial" w:cs="Arial"/>
                <w:color w:val="264A60"/>
                <w:sz w:val="18"/>
                <w:szCs w:val="18"/>
              </w:rPr>
            </w:pPr>
            <w:r w:rsidRPr="00FA1638">
              <w:rPr>
                <w:rFonts w:ascii="Arial" w:hAnsi="Arial" w:cs="Arial"/>
                <w:color w:val="264A60"/>
                <w:sz w:val="18"/>
                <w:szCs w:val="18"/>
              </w:rPr>
              <w:t>Lower Bound</w:t>
            </w:r>
          </w:p>
        </w:tc>
        <w:tc>
          <w:tcPr>
            <w:tcW w:w="1024" w:type="dxa"/>
            <w:tcBorders>
              <w:top w:val="single" w:sz="8" w:space="0" w:color="AEAEAE"/>
              <w:left w:val="nil"/>
              <w:bottom w:val="single" w:sz="8" w:space="0" w:color="AEAEAE"/>
              <w:right w:val="single" w:sz="8" w:space="0" w:color="E0E0E0"/>
            </w:tcBorders>
            <w:shd w:val="clear" w:color="auto" w:fill="FFFFFF"/>
          </w:tcPr>
          <w:p w:rsidR="00FA1638" w:rsidRPr="00FA1638" w:rsidRDefault="00FA1638" w:rsidP="00952623">
            <w:pPr>
              <w:autoSpaceDE w:val="0"/>
              <w:autoSpaceDN w:val="0"/>
              <w:adjustRightInd w:val="0"/>
              <w:spacing w:after="0" w:line="480" w:lineRule="auto"/>
              <w:ind w:left="60" w:right="60"/>
              <w:jc w:val="right"/>
              <w:rPr>
                <w:rFonts w:ascii="Arial" w:hAnsi="Arial" w:cs="Arial"/>
                <w:color w:val="010205"/>
                <w:sz w:val="18"/>
                <w:szCs w:val="18"/>
              </w:rPr>
            </w:pPr>
            <w:r w:rsidRPr="00FA1638">
              <w:rPr>
                <w:rFonts w:ascii="Arial" w:hAnsi="Arial" w:cs="Arial"/>
                <w:color w:val="010205"/>
                <w:sz w:val="18"/>
                <w:szCs w:val="18"/>
              </w:rPr>
              <w:t>12.77</w:t>
            </w:r>
          </w:p>
        </w:tc>
        <w:tc>
          <w:tcPr>
            <w:tcW w:w="1070" w:type="dxa"/>
            <w:tcBorders>
              <w:top w:val="single" w:sz="8" w:space="0" w:color="AEAEAE"/>
              <w:left w:val="single" w:sz="8" w:space="0" w:color="E0E0E0"/>
              <w:bottom w:val="single" w:sz="8" w:space="0" w:color="AEAEAE"/>
              <w:right w:val="nil"/>
            </w:tcBorders>
            <w:shd w:val="clear" w:color="auto" w:fill="FFFFFF"/>
            <w:vAlign w:val="center"/>
          </w:tcPr>
          <w:p w:rsidR="00FA1638" w:rsidRPr="00FA1638" w:rsidRDefault="00FA1638" w:rsidP="00952623">
            <w:pPr>
              <w:autoSpaceDE w:val="0"/>
              <w:autoSpaceDN w:val="0"/>
              <w:adjustRightInd w:val="0"/>
              <w:spacing w:after="0" w:line="480" w:lineRule="auto"/>
              <w:rPr>
                <w:rFonts w:ascii="Times New Roman" w:hAnsi="Times New Roman" w:cs="Times New Roman"/>
                <w:sz w:val="24"/>
                <w:szCs w:val="24"/>
              </w:rPr>
            </w:pPr>
          </w:p>
        </w:tc>
      </w:tr>
      <w:tr w:rsidR="00FA1638" w:rsidRPr="00FA1638">
        <w:trPr>
          <w:cantSplit/>
        </w:trPr>
        <w:tc>
          <w:tcPr>
            <w:tcW w:w="2447" w:type="dxa"/>
            <w:vMerge/>
            <w:tcBorders>
              <w:top w:val="single" w:sz="8" w:space="0" w:color="152935"/>
              <w:left w:val="nil"/>
              <w:bottom w:val="nil"/>
              <w:right w:val="nil"/>
            </w:tcBorders>
            <w:shd w:val="clear" w:color="auto" w:fill="E0E0E0"/>
          </w:tcPr>
          <w:p w:rsidR="00FA1638" w:rsidRPr="00FA1638" w:rsidRDefault="00FA1638" w:rsidP="00952623">
            <w:pPr>
              <w:autoSpaceDE w:val="0"/>
              <w:autoSpaceDN w:val="0"/>
              <w:adjustRightInd w:val="0"/>
              <w:spacing w:after="0" w:line="480" w:lineRule="auto"/>
              <w:rPr>
                <w:rFonts w:ascii="Times New Roman" w:hAnsi="Times New Roman" w:cs="Times New Roman"/>
                <w:sz w:val="24"/>
                <w:szCs w:val="24"/>
              </w:rPr>
            </w:pPr>
          </w:p>
        </w:tc>
        <w:tc>
          <w:tcPr>
            <w:tcW w:w="2447" w:type="dxa"/>
            <w:vMerge/>
            <w:tcBorders>
              <w:top w:val="single" w:sz="8" w:space="0" w:color="AEAEAE"/>
              <w:left w:val="nil"/>
              <w:bottom w:val="nil"/>
              <w:right w:val="nil"/>
            </w:tcBorders>
            <w:shd w:val="clear" w:color="auto" w:fill="E0E0E0"/>
          </w:tcPr>
          <w:p w:rsidR="00FA1638" w:rsidRPr="00FA1638" w:rsidRDefault="00FA1638" w:rsidP="00952623">
            <w:pPr>
              <w:autoSpaceDE w:val="0"/>
              <w:autoSpaceDN w:val="0"/>
              <w:adjustRightInd w:val="0"/>
              <w:spacing w:after="0" w:line="480" w:lineRule="auto"/>
              <w:rPr>
                <w:rFonts w:ascii="Times New Roman" w:hAnsi="Times New Roman" w:cs="Times New Roman"/>
                <w:sz w:val="24"/>
                <w:szCs w:val="24"/>
              </w:rPr>
            </w:pPr>
          </w:p>
        </w:tc>
        <w:tc>
          <w:tcPr>
            <w:tcW w:w="1407" w:type="dxa"/>
            <w:tcBorders>
              <w:top w:val="single" w:sz="8" w:space="0" w:color="AEAEAE"/>
              <w:left w:val="nil"/>
              <w:bottom w:val="nil"/>
              <w:right w:val="nil"/>
            </w:tcBorders>
            <w:shd w:val="clear" w:color="auto" w:fill="E0E0E0"/>
          </w:tcPr>
          <w:p w:rsidR="00FA1638" w:rsidRPr="00FA1638" w:rsidRDefault="00FA1638" w:rsidP="00952623">
            <w:pPr>
              <w:autoSpaceDE w:val="0"/>
              <w:autoSpaceDN w:val="0"/>
              <w:adjustRightInd w:val="0"/>
              <w:spacing w:after="0" w:line="480" w:lineRule="auto"/>
              <w:ind w:left="60" w:right="60"/>
              <w:rPr>
                <w:rFonts w:ascii="Arial" w:hAnsi="Arial" w:cs="Arial"/>
                <w:color w:val="264A60"/>
                <w:sz w:val="18"/>
                <w:szCs w:val="18"/>
              </w:rPr>
            </w:pPr>
            <w:r w:rsidRPr="00FA1638">
              <w:rPr>
                <w:rFonts w:ascii="Arial" w:hAnsi="Arial" w:cs="Arial"/>
                <w:color w:val="264A60"/>
                <w:sz w:val="18"/>
                <w:szCs w:val="18"/>
              </w:rPr>
              <w:t>Upper Bound</w:t>
            </w:r>
          </w:p>
        </w:tc>
        <w:tc>
          <w:tcPr>
            <w:tcW w:w="1024" w:type="dxa"/>
            <w:tcBorders>
              <w:top w:val="single" w:sz="8" w:space="0" w:color="AEAEAE"/>
              <w:left w:val="nil"/>
              <w:bottom w:val="nil"/>
              <w:right w:val="single" w:sz="8" w:space="0" w:color="E0E0E0"/>
            </w:tcBorders>
            <w:shd w:val="clear" w:color="auto" w:fill="FFFFFF"/>
          </w:tcPr>
          <w:p w:rsidR="00FA1638" w:rsidRPr="00FA1638" w:rsidRDefault="00FA1638" w:rsidP="00952623">
            <w:pPr>
              <w:autoSpaceDE w:val="0"/>
              <w:autoSpaceDN w:val="0"/>
              <w:adjustRightInd w:val="0"/>
              <w:spacing w:after="0" w:line="480" w:lineRule="auto"/>
              <w:ind w:left="60" w:right="60"/>
              <w:jc w:val="right"/>
              <w:rPr>
                <w:rFonts w:ascii="Arial" w:hAnsi="Arial" w:cs="Arial"/>
                <w:color w:val="010205"/>
                <w:sz w:val="18"/>
                <w:szCs w:val="18"/>
              </w:rPr>
            </w:pPr>
            <w:r w:rsidRPr="00FA1638">
              <w:rPr>
                <w:rFonts w:ascii="Arial" w:hAnsi="Arial" w:cs="Arial"/>
                <w:color w:val="010205"/>
                <w:sz w:val="18"/>
                <w:szCs w:val="18"/>
              </w:rPr>
              <w:t>12.92</w:t>
            </w:r>
          </w:p>
        </w:tc>
        <w:tc>
          <w:tcPr>
            <w:tcW w:w="1070" w:type="dxa"/>
            <w:tcBorders>
              <w:top w:val="single" w:sz="8" w:space="0" w:color="AEAEAE"/>
              <w:left w:val="single" w:sz="8" w:space="0" w:color="E0E0E0"/>
              <w:bottom w:val="nil"/>
              <w:right w:val="nil"/>
            </w:tcBorders>
            <w:shd w:val="clear" w:color="auto" w:fill="FFFFFF"/>
            <w:vAlign w:val="center"/>
          </w:tcPr>
          <w:p w:rsidR="00FA1638" w:rsidRPr="00FA1638" w:rsidRDefault="00FA1638" w:rsidP="00952623">
            <w:pPr>
              <w:autoSpaceDE w:val="0"/>
              <w:autoSpaceDN w:val="0"/>
              <w:adjustRightInd w:val="0"/>
              <w:spacing w:after="0" w:line="480" w:lineRule="auto"/>
              <w:rPr>
                <w:rFonts w:ascii="Times New Roman" w:hAnsi="Times New Roman" w:cs="Times New Roman"/>
                <w:sz w:val="24"/>
                <w:szCs w:val="24"/>
              </w:rPr>
            </w:pPr>
          </w:p>
        </w:tc>
      </w:tr>
      <w:tr w:rsidR="00FA1638" w:rsidRPr="00FA1638">
        <w:trPr>
          <w:cantSplit/>
        </w:trPr>
        <w:tc>
          <w:tcPr>
            <w:tcW w:w="2447" w:type="dxa"/>
            <w:vMerge/>
            <w:tcBorders>
              <w:top w:val="single" w:sz="8" w:space="0" w:color="152935"/>
              <w:left w:val="nil"/>
              <w:bottom w:val="nil"/>
              <w:right w:val="nil"/>
            </w:tcBorders>
            <w:shd w:val="clear" w:color="auto" w:fill="E0E0E0"/>
          </w:tcPr>
          <w:p w:rsidR="00FA1638" w:rsidRPr="00FA1638" w:rsidRDefault="00FA1638" w:rsidP="00952623">
            <w:pPr>
              <w:autoSpaceDE w:val="0"/>
              <w:autoSpaceDN w:val="0"/>
              <w:adjustRightInd w:val="0"/>
              <w:spacing w:after="0" w:line="48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rsidR="00FA1638" w:rsidRPr="00FA1638" w:rsidRDefault="00FA1638" w:rsidP="00952623">
            <w:pPr>
              <w:autoSpaceDE w:val="0"/>
              <w:autoSpaceDN w:val="0"/>
              <w:adjustRightInd w:val="0"/>
              <w:spacing w:after="0" w:line="480" w:lineRule="auto"/>
              <w:ind w:left="60" w:right="60"/>
              <w:rPr>
                <w:rFonts w:ascii="Arial" w:hAnsi="Arial" w:cs="Arial"/>
                <w:color w:val="264A60"/>
                <w:sz w:val="18"/>
                <w:szCs w:val="18"/>
              </w:rPr>
            </w:pPr>
            <w:r w:rsidRPr="00FA1638">
              <w:rPr>
                <w:rFonts w:ascii="Arial" w:hAnsi="Arial" w:cs="Arial"/>
                <w:color w:val="264A60"/>
                <w:sz w:val="18"/>
                <w:szCs w:val="18"/>
              </w:rPr>
              <w:t>5% Trimmed Mean</w:t>
            </w:r>
          </w:p>
        </w:tc>
        <w:tc>
          <w:tcPr>
            <w:tcW w:w="1024" w:type="dxa"/>
            <w:tcBorders>
              <w:top w:val="single" w:sz="8" w:space="0" w:color="AEAEAE"/>
              <w:left w:val="nil"/>
              <w:bottom w:val="nil"/>
              <w:right w:val="single" w:sz="8" w:space="0" w:color="E0E0E0"/>
            </w:tcBorders>
            <w:shd w:val="clear" w:color="auto" w:fill="FFFFFF"/>
          </w:tcPr>
          <w:p w:rsidR="00FA1638" w:rsidRPr="00FA1638" w:rsidRDefault="00FA1638" w:rsidP="00952623">
            <w:pPr>
              <w:autoSpaceDE w:val="0"/>
              <w:autoSpaceDN w:val="0"/>
              <w:adjustRightInd w:val="0"/>
              <w:spacing w:after="0" w:line="480" w:lineRule="auto"/>
              <w:ind w:left="60" w:right="60"/>
              <w:jc w:val="right"/>
              <w:rPr>
                <w:rFonts w:ascii="Arial" w:hAnsi="Arial" w:cs="Arial"/>
                <w:color w:val="010205"/>
                <w:sz w:val="18"/>
                <w:szCs w:val="18"/>
              </w:rPr>
            </w:pPr>
            <w:r w:rsidRPr="00FA1638">
              <w:rPr>
                <w:rFonts w:ascii="Arial" w:hAnsi="Arial" w:cs="Arial"/>
                <w:color w:val="010205"/>
                <w:sz w:val="18"/>
                <w:szCs w:val="18"/>
              </w:rPr>
              <w:t>12.55</w:t>
            </w:r>
          </w:p>
        </w:tc>
        <w:tc>
          <w:tcPr>
            <w:tcW w:w="1070" w:type="dxa"/>
            <w:tcBorders>
              <w:top w:val="single" w:sz="8" w:space="0" w:color="AEAEAE"/>
              <w:left w:val="single" w:sz="8" w:space="0" w:color="E0E0E0"/>
              <w:bottom w:val="nil"/>
              <w:right w:val="nil"/>
            </w:tcBorders>
            <w:shd w:val="clear" w:color="auto" w:fill="FFFFFF"/>
            <w:vAlign w:val="center"/>
          </w:tcPr>
          <w:p w:rsidR="00FA1638" w:rsidRPr="00FA1638" w:rsidRDefault="00FA1638" w:rsidP="00952623">
            <w:pPr>
              <w:autoSpaceDE w:val="0"/>
              <w:autoSpaceDN w:val="0"/>
              <w:adjustRightInd w:val="0"/>
              <w:spacing w:after="0" w:line="480" w:lineRule="auto"/>
              <w:rPr>
                <w:rFonts w:ascii="Times New Roman" w:hAnsi="Times New Roman" w:cs="Times New Roman"/>
                <w:sz w:val="24"/>
                <w:szCs w:val="24"/>
              </w:rPr>
            </w:pPr>
          </w:p>
        </w:tc>
      </w:tr>
      <w:tr w:rsidR="00FA1638" w:rsidRPr="00FA1638">
        <w:trPr>
          <w:cantSplit/>
        </w:trPr>
        <w:tc>
          <w:tcPr>
            <w:tcW w:w="2447" w:type="dxa"/>
            <w:vMerge/>
            <w:tcBorders>
              <w:top w:val="single" w:sz="8" w:space="0" w:color="152935"/>
              <w:left w:val="nil"/>
              <w:bottom w:val="nil"/>
              <w:right w:val="nil"/>
            </w:tcBorders>
            <w:shd w:val="clear" w:color="auto" w:fill="E0E0E0"/>
          </w:tcPr>
          <w:p w:rsidR="00FA1638" w:rsidRPr="00FA1638" w:rsidRDefault="00FA1638" w:rsidP="00952623">
            <w:pPr>
              <w:autoSpaceDE w:val="0"/>
              <w:autoSpaceDN w:val="0"/>
              <w:adjustRightInd w:val="0"/>
              <w:spacing w:after="0" w:line="48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rsidR="00FA1638" w:rsidRPr="00FA1638" w:rsidRDefault="00FA1638" w:rsidP="00952623">
            <w:pPr>
              <w:autoSpaceDE w:val="0"/>
              <w:autoSpaceDN w:val="0"/>
              <w:adjustRightInd w:val="0"/>
              <w:spacing w:after="0" w:line="480" w:lineRule="auto"/>
              <w:ind w:left="60" w:right="60"/>
              <w:rPr>
                <w:rFonts w:ascii="Arial" w:hAnsi="Arial" w:cs="Arial"/>
                <w:color w:val="264A60"/>
                <w:sz w:val="18"/>
                <w:szCs w:val="18"/>
              </w:rPr>
            </w:pPr>
            <w:r w:rsidRPr="00FA1638">
              <w:rPr>
                <w:rFonts w:ascii="Arial" w:hAnsi="Arial" w:cs="Arial"/>
                <w:color w:val="264A60"/>
                <w:sz w:val="18"/>
                <w:szCs w:val="18"/>
              </w:rPr>
              <w:t>Median</w:t>
            </w:r>
          </w:p>
        </w:tc>
        <w:tc>
          <w:tcPr>
            <w:tcW w:w="1024" w:type="dxa"/>
            <w:tcBorders>
              <w:top w:val="single" w:sz="8" w:space="0" w:color="AEAEAE"/>
              <w:left w:val="nil"/>
              <w:bottom w:val="nil"/>
              <w:right w:val="single" w:sz="8" w:space="0" w:color="E0E0E0"/>
            </w:tcBorders>
            <w:shd w:val="clear" w:color="auto" w:fill="FFFFFF"/>
          </w:tcPr>
          <w:p w:rsidR="00FA1638" w:rsidRPr="00FA1638" w:rsidRDefault="00FA1638" w:rsidP="00952623">
            <w:pPr>
              <w:autoSpaceDE w:val="0"/>
              <w:autoSpaceDN w:val="0"/>
              <w:adjustRightInd w:val="0"/>
              <w:spacing w:after="0" w:line="480" w:lineRule="auto"/>
              <w:ind w:left="60" w:right="60"/>
              <w:jc w:val="right"/>
              <w:rPr>
                <w:rFonts w:ascii="Arial" w:hAnsi="Arial" w:cs="Arial"/>
                <w:color w:val="010205"/>
                <w:sz w:val="18"/>
                <w:szCs w:val="18"/>
              </w:rPr>
            </w:pPr>
            <w:r w:rsidRPr="00FA1638">
              <w:rPr>
                <w:rFonts w:ascii="Arial" w:hAnsi="Arial" w:cs="Arial"/>
                <w:color w:val="010205"/>
                <w:sz w:val="18"/>
                <w:szCs w:val="18"/>
              </w:rPr>
              <w:t>10.00</w:t>
            </w:r>
          </w:p>
        </w:tc>
        <w:tc>
          <w:tcPr>
            <w:tcW w:w="1070" w:type="dxa"/>
            <w:tcBorders>
              <w:top w:val="single" w:sz="8" w:space="0" w:color="AEAEAE"/>
              <w:left w:val="single" w:sz="8" w:space="0" w:color="E0E0E0"/>
              <w:bottom w:val="nil"/>
              <w:right w:val="nil"/>
            </w:tcBorders>
            <w:shd w:val="clear" w:color="auto" w:fill="FFFFFF"/>
            <w:vAlign w:val="center"/>
          </w:tcPr>
          <w:p w:rsidR="00FA1638" w:rsidRPr="00FA1638" w:rsidRDefault="00FA1638" w:rsidP="00952623">
            <w:pPr>
              <w:autoSpaceDE w:val="0"/>
              <w:autoSpaceDN w:val="0"/>
              <w:adjustRightInd w:val="0"/>
              <w:spacing w:after="0" w:line="480" w:lineRule="auto"/>
              <w:rPr>
                <w:rFonts w:ascii="Times New Roman" w:hAnsi="Times New Roman" w:cs="Times New Roman"/>
                <w:sz w:val="24"/>
                <w:szCs w:val="24"/>
              </w:rPr>
            </w:pPr>
          </w:p>
        </w:tc>
      </w:tr>
      <w:tr w:rsidR="00FA1638" w:rsidRPr="00FA1638">
        <w:trPr>
          <w:cantSplit/>
        </w:trPr>
        <w:tc>
          <w:tcPr>
            <w:tcW w:w="2447" w:type="dxa"/>
            <w:vMerge/>
            <w:tcBorders>
              <w:top w:val="single" w:sz="8" w:space="0" w:color="152935"/>
              <w:left w:val="nil"/>
              <w:bottom w:val="nil"/>
              <w:right w:val="nil"/>
            </w:tcBorders>
            <w:shd w:val="clear" w:color="auto" w:fill="E0E0E0"/>
          </w:tcPr>
          <w:p w:rsidR="00FA1638" w:rsidRPr="00FA1638" w:rsidRDefault="00FA1638" w:rsidP="00952623">
            <w:pPr>
              <w:autoSpaceDE w:val="0"/>
              <w:autoSpaceDN w:val="0"/>
              <w:adjustRightInd w:val="0"/>
              <w:spacing w:after="0" w:line="48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rsidR="00FA1638" w:rsidRPr="00FA1638" w:rsidRDefault="00FA1638" w:rsidP="00952623">
            <w:pPr>
              <w:autoSpaceDE w:val="0"/>
              <w:autoSpaceDN w:val="0"/>
              <w:adjustRightInd w:val="0"/>
              <w:spacing w:after="0" w:line="480" w:lineRule="auto"/>
              <w:ind w:left="60" w:right="60"/>
              <w:rPr>
                <w:rFonts w:ascii="Arial" w:hAnsi="Arial" w:cs="Arial"/>
                <w:color w:val="264A60"/>
                <w:sz w:val="18"/>
                <w:szCs w:val="18"/>
              </w:rPr>
            </w:pPr>
            <w:r w:rsidRPr="00FA1638">
              <w:rPr>
                <w:rFonts w:ascii="Arial" w:hAnsi="Arial" w:cs="Arial"/>
                <w:color w:val="264A60"/>
                <w:sz w:val="18"/>
                <w:szCs w:val="18"/>
              </w:rPr>
              <w:t>Variance</w:t>
            </w:r>
          </w:p>
        </w:tc>
        <w:tc>
          <w:tcPr>
            <w:tcW w:w="1024" w:type="dxa"/>
            <w:tcBorders>
              <w:top w:val="single" w:sz="8" w:space="0" w:color="AEAEAE"/>
              <w:left w:val="nil"/>
              <w:bottom w:val="nil"/>
              <w:right w:val="single" w:sz="8" w:space="0" w:color="E0E0E0"/>
            </w:tcBorders>
            <w:shd w:val="clear" w:color="auto" w:fill="FFFFFF"/>
          </w:tcPr>
          <w:p w:rsidR="00FA1638" w:rsidRPr="00FA1638" w:rsidRDefault="00FA1638" w:rsidP="00952623">
            <w:pPr>
              <w:autoSpaceDE w:val="0"/>
              <w:autoSpaceDN w:val="0"/>
              <w:adjustRightInd w:val="0"/>
              <w:spacing w:after="0" w:line="480" w:lineRule="auto"/>
              <w:ind w:left="60" w:right="60"/>
              <w:jc w:val="right"/>
              <w:rPr>
                <w:rFonts w:ascii="Arial" w:hAnsi="Arial" w:cs="Arial"/>
                <w:color w:val="010205"/>
                <w:sz w:val="18"/>
                <w:szCs w:val="18"/>
              </w:rPr>
            </w:pPr>
            <w:r w:rsidRPr="00FA1638">
              <w:rPr>
                <w:rFonts w:ascii="Arial" w:hAnsi="Arial" w:cs="Arial"/>
                <w:color w:val="010205"/>
                <w:sz w:val="18"/>
                <w:szCs w:val="18"/>
              </w:rPr>
              <w:t>118.566</w:t>
            </w:r>
          </w:p>
        </w:tc>
        <w:tc>
          <w:tcPr>
            <w:tcW w:w="1070" w:type="dxa"/>
            <w:tcBorders>
              <w:top w:val="single" w:sz="8" w:space="0" w:color="AEAEAE"/>
              <w:left w:val="single" w:sz="8" w:space="0" w:color="E0E0E0"/>
              <w:bottom w:val="nil"/>
              <w:right w:val="nil"/>
            </w:tcBorders>
            <w:shd w:val="clear" w:color="auto" w:fill="FFFFFF"/>
            <w:vAlign w:val="center"/>
          </w:tcPr>
          <w:p w:rsidR="00FA1638" w:rsidRPr="00FA1638" w:rsidRDefault="00FA1638" w:rsidP="00952623">
            <w:pPr>
              <w:autoSpaceDE w:val="0"/>
              <w:autoSpaceDN w:val="0"/>
              <w:adjustRightInd w:val="0"/>
              <w:spacing w:after="0" w:line="480" w:lineRule="auto"/>
              <w:rPr>
                <w:rFonts w:ascii="Times New Roman" w:hAnsi="Times New Roman" w:cs="Times New Roman"/>
                <w:sz w:val="24"/>
                <w:szCs w:val="24"/>
              </w:rPr>
            </w:pPr>
          </w:p>
        </w:tc>
      </w:tr>
      <w:tr w:rsidR="00FA1638" w:rsidRPr="00FA1638">
        <w:trPr>
          <w:cantSplit/>
        </w:trPr>
        <w:tc>
          <w:tcPr>
            <w:tcW w:w="2447" w:type="dxa"/>
            <w:vMerge/>
            <w:tcBorders>
              <w:top w:val="single" w:sz="8" w:space="0" w:color="152935"/>
              <w:left w:val="nil"/>
              <w:bottom w:val="nil"/>
              <w:right w:val="nil"/>
            </w:tcBorders>
            <w:shd w:val="clear" w:color="auto" w:fill="E0E0E0"/>
          </w:tcPr>
          <w:p w:rsidR="00FA1638" w:rsidRPr="00FA1638" w:rsidRDefault="00FA1638" w:rsidP="00952623">
            <w:pPr>
              <w:autoSpaceDE w:val="0"/>
              <w:autoSpaceDN w:val="0"/>
              <w:adjustRightInd w:val="0"/>
              <w:spacing w:after="0" w:line="48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rsidR="00FA1638" w:rsidRPr="00FA1638" w:rsidRDefault="00FA1638" w:rsidP="00952623">
            <w:pPr>
              <w:autoSpaceDE w:val="0"/>
              <w:autoSpaceDN w:val="0"/>
              <w:adjustRightInd w:val="0"/>
              <w:spacing w:after="0" w:line="480" w:lineRule="auto"/>
              <w:ind w:left="60" w:right="60"/>
              <w:rPr>
                <w:rFonts w:ascii="Arial" w:hAnsi="Arial" w:cs="Arial"/>
                <w:color w:val="264A60"/>
                <w:sz w:val="18"/>
                <w:szCs w:val="18"/>
              </w:rPr>
            </w:pPr>
            <w:r w:rsidRPr="00FA1638">
              <w:rPr>
                <w:rFonts w:ascii="Arial" w:hAnsi="Arial" w:cs="Arial"/>
                <w:color w:val="264A60"/>
                <w:sz w:val="18"/>
                <w:szCs w:val="18"/>
              </w:rPr>
              <w:t>Std. Deviation</w:t>
            </w:r>
          </w:p>
        </w:tc>
        <w:tc>
          <w:tcPr>
            <w:tcW w:w="1024" w:type="dxa"/>
            <w:tcBorders>
              <w:top w:val="single" w:sz="8" w:space="0" w:color="AEAEAE"/>
              <w:left w:val="nil"/>
              <w:bottom w:val="nil"/>
              <w:right w:val="single" w:sz="8" w:space="0" w:color="E0E0E0"/>
            </w:tcBorders>
            <w:shd w:val="clear" w:color="auto" w:fill="FFFFFF"/>
          </w:tcPr>
          <w:p w:rsidR="00FA1638" w:rsidRPr="00FA1638" w:rsidRDefault="00FA1638" w:rsidP="00952623">
            <w:pPr>
              <w:autoSpaceDE w:val="0"/>
              <w:autoSpaceDN w:val="0"/>
              <w:adjustRightInd w:val="0"/>
              <w:spacing w:after="0" w:line="480" w:lineRule="auto"/>
              <w:ind w:left="60" w:right="60"/>
              <w:jc w:val="right"/>
              <w:rPr>
                <w:rFonts w:ascii="Arial" w:hAnsi="Arial" w:cs="Arial"/>
                <w:color w:val="010205"/>
                <w:sz w:val="18"/>
                <w:szCs w:val="18"/>
              </w:rPr>
            </w:pPr>
            <w:r w:rsidRPr="00FA1638">
              <w:rPr>
                <w:rFonts w:ascii="Arial" w:hAnsi="Arial" w:cs="Arial"/>
                <w:color w:val="010205"/>
                <w:sz w:val="18"/>
                <w:szCs w:val="18"/>
              </w:rPr>
              <w:t>10.889</w:t>
            </w:r>
          </w:p>
        </w:tc>
        <w:tc>
          <w:tcPr>
            <w:tcW w:w="1070" w:type="dxa"/>
            <w:tcBorders>
              <w:top w:val="single" w:sz="8" w:space="0" w:color="AEAEAE"/>
              <w:left w:val="single" w:sz="8" w:space="0" w:color="E0E0E0"/>
              <w:bottom w:val="nil"/>
              <w:right w:val="nil"/>
            </w:tcBorders>
            <w:shd w:val="clear" w:color="auto" w:fill="FFFFFF"/>
            <w:vAlign w:val="center"/>
          </w:tcPr>
          <w:p w:rsidR="00FA1638" w:rsidRPr="00FA1638" w:rsidRDefault="00FA1638" w:rsidP="00952623">
            <w:pPr>
              <w:autoSpaceDE w:val="0"/>
              <w:autoSpaceDN w:val="0"/>
              <w:adjustRightInd w:val="0"/>
              <w:spacing w:after="0" w:line="480" w:lineRule="auto"/>
              <w:rPr>
                <w:rFonts w:ascii="Times New Roman" w:hAnsi="Times New Roman" w:cs="Times New Roman"/>
                <w:sz w:val="24"/>
                <w:szCs w:val="24"/>
              </w:rPr>
            </w:pPr>
          </w:p>
        </w:tc>
      </w:tr>
      <w:tr w:rsidR="00FA1638" w:rsidRPr="00FA1638">
        <w:trPr>
          <w:cantSplit/>
        </w:trPr>
        <w:tc>
          <w:tcPr>
            <w:tcW w:w="2447" w:type="dxa"/>
            <w:vMerge/>
            <w:tcBorders>
              <w:top w:val="single" w:sz="8" w:space="0" w:color="152935"/>
              <w:left w:val="nil"/>
              <w:bottom w:val="nil"/>
              <w:right w:val="nil"/>
            </w:tcBorders>
            <w:shd w:val="clear" w:color="auto" w:fill="E0E0E0"/>
          </w:tcPr>
          <w:p w:rsidR="00FA1638" w:rsidRPr="00FA1638" w:rsidRDefault="00FA1638" w:rsidP="00952623">
            <w:pPr>
              <w:autoSpaceDE w:val="0"/>
              <w:autoSpaceDN w:val="0"/>
              <w:adjustRightInd w:val="0"/>
              <w:spacing w:after="0" w:line="48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rsidR="00FA1638" w:rsidRPr="00FA1638" w:rsidRDefault="00FA1638" w:rsidP="00952623">
            <w:pPr>
              <w:autoSpaceDE w:val="0"/>
              <w:autoSpaceDN w:val="0"/>
              <w:adjustRightInd w:val="0"/>
              <w:spacing w:after="0" w:line="480" w:lineRule="auto"/>
              <w:ind w:left="60" w:right="60"/>
              <w:rPr>
                <w:rFonts w:ascii="Arial" w:hAnsi="Arial" w:cs="Arial"/>
                <w:color w:val="264A60"/>
                <w:sz w:val="18"/>
                <w:szCs w:val="18"/>
              </w:rPr>
            </w:pPr>
            <w:r w:rsidRPr="00FA1638">
              <w:rPr>
                <w:rFonts w:ascii="Arial" w:hAnsi="Arial" w:cs="Arial"/>
                <w:color w:val="264A60"/>
                <w:sz w:val="18"/>
                <w:szCs w:val="18"/>
              </w:rPr>
              <w:t>Minimum</w:t>
            </w:r>
          </w:p>
        </w:tc>
        <w:tc>
          <w:tcPr>
            <w:tcW w:w="1024" w:type="dxa"/>
            <w:tcBorders>
              <w:top w:val="single" w:sz="8" w:space="0" w:color="AEAEAE"/>
              <w:left w:val="nil"/>
              <w:bottom w:val="nil"/>
              <w:right w:val="single" w:sz="8" w:space="0" w:color="E0E0E0"/>
            </w:tcBorders>
            <w:shd w:val="clear" w:color="auto" w:fill="FFFFFF"/>
          </w:tcPr>
          <w:p w:rsidR="00FA1638" w:rsidRPr="00FA1638" w:rsidRDefault="00FA1638" w:rsidP="00952623">
            <w:pPr>
              <w:autoSpaceDE w:val="0"/>
              <w:autoSpaceDN w:val="0"/>
              <w:adjustRightInd w:val="0"/>
              <w:spacing w:after="0" w:line="480" w:lineRule="auto"/>
              <w:ind w:left="60" w:right="60"/>
              <w:jc w:val="right"/>
              <w:rPr>
                <w:rFonts w:ascii="Arial" w:hAnsi="Arial" w:cs="Arial"/>
                <w:color w:val="010205"/>
                <w:sz w:val="18"/>
                <w:szCs w:val="18"/>
              </w:rPr>
            </w:pPr>
            <w:r w:rsidRPr="00FA1638">
              <w:rPr>
                <w:rFonts w:ascii="Arial" w:hAnsi="Arial" w:cs="Arial"/>
                <w:color w:val="010205"/>
                <w:sz w:val="18"/>
                <w:szCs w:val="18"/>
              </w:rPr>
              <w:t>1</w:t>
            </w:r>
          </w:p>
        </w:tc>
        <w:tc>
          <w:tcPr>
            <w:tcW w:w="1070" w:type="dxa"/>
            <w:tcBorders>
              <w:top w:val="single" w:sz="8" w:space="0" w:color="AEAEAE"/>
              <w:left w:val="single" w:sz="8" w:space="0" w:color="E0E0E0"/>
              <w:bottom w:val="nil"/>
              <w:right w:val="nil"/>
            </w:tcBorders>
            <w:shd w:val="clear" w:color="auto" w:fill="FFFFFF"/>
            <w:vAlign w:val="center"/>
          </w:tcPr>
          <w:p w:rsidR="00FA1638" w:rsidRPr="00FA1638" w:rsidRDefault="00FA1638" w:rsidP="00952623">
            <w:pPr>
              <w:autoSpaceDE w:val="0"/>
              <w:autoSpaceDN w:val="0"/>
              <w:adjustRightInd w:val="0"/>
              <w:spacing w:after="0" w:line="480" w:lineRule="auto"/>
              <w:rPr>
                <w:rFonts w:ascii="Times New Roman" w:hAnsi="Times New Roman" w:cs="Times New Roman"/>
                <w:sz w:val="24"/>
                <w:szCs w:val="24"/>
              </w:rPr>
            </w:pPr>
          </w:p>
        </w:tc>
      </w:tr>
      <w:tr w:rsidR="00FA1638" w:rsidRPr="00FA1638">
        <w:trPr>
          <w:cantSplit/>
        </w:trPr>
        <w:tc>
          <w:tcPr>
            <w:tcW w:w="2447" w:type="dxa"/>
            <w:vMerge/>
            <w:tcBorders>
              <w:top w:val="single" w:sz="8" w:space="0" w:color="152935"/>
              <w:left w:val="nil"/>
              <w:bottom w:val="nil"/>
              <w:right w:val="nil"/>
            </w:tcBorders>
            <w:shd w:val="clear" w:color="auto" w:fill="E0E0E0"/>
          </w:tcPr>
          <w:p w:rsidR="00FA1638" w:rsidRPr="00FA1638" w:rsidRDefault="00FA1638" w:rsidP="00952623">
            <w:pPr>
              <w:autoSpaceDE w:val="0"/>
              <w:autoSpaceDN w:val="0"/>
              <w:adjustRightInd w:val="0"/>
              <w:spacing w:after="0" w:line="48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rsidR="00FA1638" w:rsidRPr="00FA1638" w:rsidRDefault="00FA1638" w:rsidP="00952623">
            <w:pPr>
              <w:autoSpaceDE w:val="0"/>
              <w:autoSpaceDN w:val="0"/>
              <w:adjustRightInd w:val="0"/>
              <w:spacing w:after="0" w:line="480" w:lineRule="auto"/>
              <w:ind w:left="60" w:right="60"/>
              <w:rPr>
                <w:rFonts w:ascii="Arial" w:hAnsi="Arial" w:cs="Arial"/>
                <w:color w:val="264A60"/>
                <w:sz w:val="18"/>
                <w:szCs w:val="18"/>
              </w:rPr>
            </w:pPr>
            <w:r w:rsidRPr="00FA1638">
              <w:rPr>
                <w:rFonts w:ascii="Arial" w:hAnsi="Arial" w:cs="Arial"/>
                <w:color w:val="264A60"/>
                <w:sz w:val="18"/>
                <w:szCs w:val="18"/>
              </w:rPr>
              <w:t>Maximum</w:t>
            </w:r>
          </w:p>
        </w:tc>
        <w:tc>
          <w:tcPr>
            <w:tcW w:w="1024" w:type="dxa"/>
            <w:tcBorders>
              <w:top w:val="single" w:sz="8" w:space="0" w:color="AEAEAE"/>
              <w:left w:val="nil"/>
              <w:bottom w:val="nil"/>
              <w:right w:val="single" w:sz="8" w:space="0" w:color="E0E0E0"/>
            </w:tcBorders>
            <w:shd w:val="clear" w:color="auto" w:fill="FFFFFF"/>
          </w:tcPr>
          <w:p w:rsidR="00FA1638" w:rsidRPr="00FA1638" w:rsidRDefault="00FA1638" w:rsidP="00952623">
            <w:pPr>
              <w:autoSpaceDE w:val="0"/>
              <w:autoSpaceDN w:val="0"/>
              <w:adjustRightInd w:val="0"/>
              <w:spacing w:after="0" w:line="480" w:lineRule="auto"/>
              <w:ind w:left="60" w:right="60"/>
              <w:jc w:val="right"/>
              <w:rPr>
                <w:rFonts w:ascii="Arial" w:hAnsi="Arial" w:cs="Arial"/>
                <w:color w:val="010205"/>
                <w:sz w:val="18"/>
                <w:szCs w:val="18"/>
              </w:rPr>
            </w:pPr>
            <w:r w:rsidRPr="00FA1638">
              <w:rPr>
                <w:rFonts w:ascii="Arial" w:hAnsi="Arial" w:cs="Arial"/>
                <w:color w:val="010205"/>
                <w:sz w:val="18"/>
                <w:szCs w:val="18"/>
              </w:rPr>
              <w:t>30</w:t>
            </w:r>
          </w:p>
        </w:tc>
        <w:tc>
          <w:tcPr>
            <w:tcW w:w="1070" w:type="dxa"/>
            <w:tcBorders>
              <w:top w:val="single" w:sz="8" w:space="0" w:color="AEAEAE"/>
              <w:left w:val="single" w:sz="8" w:space="0" w:color="E0E0E0"/>
              <w:bottom w:val="nil"/>
              <w:right w:val="nil"/>
            </w:tcBorders>
            <w:shd w:val="clear" w:color="auto" w:fill="FFFFFF"/>
            <w:vAlign w:val="center"/>
          </w:tcPr>
          <w:p w:rsidR="00FA1638" w:rsidRPr="00FA1638" w:rsidRDefault="00FA1638" w:rsidP="00952623">
            <w:pPr>
              <w:autoSpaceDE w:val="0"/>
              <w:autoSpaceDN w:val="0"/>
              <w:adjustRightInd w:val="0"/>
              <w:spacing w:after="0" w:line="480" w:lineRule="auto"/>
              <w:rPr>
                <w:rFonts w:ascii="Times New Roman" w:hAnsi="Times New Roman" w:cs="Times New Roman"/>
                <w:sz w:val="24"/>
                <w:szCs w:val="24"/>
              </w:rPr>
            </w:pPr>
          </w:p>
        </w:tc>
      </w:tr>
      <w:tr w:rsidR="00FA1638" w:rsidRPr="00FA1638">
        <w:trPr>
          <w:cantSplit/>
        </w:trPr>
        <w:tc>
          <w:tcPr>
            <w:tcW w:w="2447" w:type="dxa"/>
            <w:vMerge/>
            <w:tcBorders>
              <w:top w:val="single" w:sz="8" w:space="0" w:color="152935"/>
              <w:left w:val="nil"/>
              <w:bottom w:val="nil"/>
              <w:right w:val="nil"/>
            </w:tcBorders>
            <w:shd w:val="clear" w:color="auto" w:fill="E0E0E0"/>
          </w:tcPr>
          <w:p w:rsidR="00FA1638" w:rsidRPr="00FA1638" w:rsidRDefault="00FA1638" w:rsidP="00952623">
            <w:pPr>
              <w:autoSpaceDE w:val="0"/>
              <w:autoSpaceDN w:val="0"/>
              <w:adjustRightInd w:val="0"/>
              <w:spacing w:after="0" w:line="48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rsidR="00FA1638" w:rsidRPr="00FA1638" w:rsidRDefault="00FA1638" w:rsidP="00952623">
            <w:pPr>
              <w:autoSpaceDE w:val="0"/>
              <w:autoSpaceDN w:val="0"/>
              <w:adjustRightInd w:val="0"/>
              <w:spacing w:after="0" w:line="480" w:lineRule="auto"/>
              <w:ind w:left="60" w:right="60"/>
              <w:rPr>
                <w:rFonts w:ascii="Arial" w:hAnsi="Arial" w:cs="Arial"/>
                <w:color w:val="264A60"/>
                <w:sz w:val="18"/>
                <w:szCs w:val="18"/>
              </w:rPr>
            </w:pPr>
            <w:r w:rsidRPr="00FA1638">
              <w:rPr>
                <w:rFonts w:ascii="Arial" w:hAnsi="Arial" w:cs="Arial"/>
                <w:color w:val="264A60"/>
                <w:sz w:val="18"/>
                <w:szCs w:val="18"/>
              </w:rPr>
              <w:t>Range</w:t>
            </w:r>
          </w:p>
        </w:tc>
        <w:tc>
          <w:tcPr>
            <w:tcW w:w="1024" w:type="dxa"/>
            <w:tcBorders>
              <w:top w:val="single" w:sz="8" w:space="0" w:color="AEAEAE"/>
              <w:left w:val="nil"/>
              <w:bottom w:val="nil"/>
              <w:right w:val="single" w:sz="8" w:space="0" w:color="E0E0E0"/>
            </w:tcBorders>
            <w:shd w:val="clear" w:color="auto" w:fill="FFFFFF"/>
          </w:tcPr>
          <w:p w:rsidR="00FA1638" w:rsidRPr="00FA1638" w:rsidRDefault="00FA1638" w:rsidP="00952623">
            <w:pPr>
              <w:autoSpaceDE w:val="0"/>
              <w:autoSpaceDN w:val="0"/>
              <w:adjustRightInd w:val="0"/>
              <w:spacing w:after="0" w:line="480" w:lineRule="auto"/>
              <w:ind w:left="60" w:right="60"/>
              <w:jc w:val="right"/>
              <w:rPr>
                <w:rFonts w:ascii="Arial" w:hAnsi="Arial" w:cs="Arial"/>
                <w:color w:val="010205"/>
                <w:sz w:val="18"/>
                <w:szCs w:val="18"/>
              </w:rPr>
            </w:pPr>
            <w:r w:rsidRPr="00FA1638">
              <w:rPr>
                <w:rFonts w:ascii="Arial" w:hAnsi="Arial" w:cs="Arial"/>
                <w:color w:val="010205"/>
                <w:sz w:val="18"/>
                <w:szCs w:val="18"/>
              </w:rPr>
              <w:t>29</w:t>
            </w:r>
          </w:p>
        </w:tc>
        <w:tc>
          <w:tcPr>
            <w:tcW w:w="1070" w:type="dxa"/>
            <w:tcBorders>
              <w:top w:val="single" w:sz="8" w:space="0" w:color="AEAEAE"/>
              <w:left w:val="single" w:sz="8" w:space="0" w:color="E0E0E0"/>
              <w:bottom w:val="nil"/>
              <w:right w:val="nil"/>
            </w:tcBorders>
            <w:shd w:val="clear" w:color="auto" w:fill="FFFFFF"/>
            <w:vAlign w:val="center"/>
          </w:tcPr>
          <w:p w:rsidR="00FA1638" w:rsidRPr="00FA1638" w:rsidRDefault="00FA1638" w:rsidP="00952623">
            <w:pPr>
              <w:autoSpaceDE w:val="0"/>
              <w:autoSpaceDN w:val="0"/>
              <w:adjustRightInd w:val="0"/>
              <w:spacing w:after="0" w:line="480" w:lineRule="auto"/>
              <w:rPr>
                <w:rFonts w:ascii="Times New Roman" w:hAnsi="Times New Roman" w:cs="Times New Roman"/>
                <w:sz w:val="24"/>
                <w:szCs w:val="24"/>
              </w:rPr>
            </w:pPr>
          </w:p>
        </w:tc>
      </w:tr>
      <w:tr w:rsidR="00FA1638" w:rsidRPr="00FA1638">
        <w:trPr>
          <w:cantSplit/>
        </w:trPr>
        <w:tc>
          <w:tcPr>
            <w:tcW w:w="2447" w:type="dxa"/>
            <w:vMerge/>
            <w:tcBorders>
              <w:top w:val="single" w:sz="8" w:space="0" w:color="152935"/>
              <w:left w:val="nil"/>
              <w:bottom w:val="nil"/>
              <w:right w:val="nil"/>
            </w:tcBorders>
            <w:shd w:val="clear" w:color="auto" w:fill="E0E0E0"/>
          </w:tcPr>
          <w:p w:rsidR="00FA1638" w:rsidRPr="00FA1638" w:rsidRDefault="00FA1638" w:rsidP="00952623">
            <w:pPr>
              <w:autoSpaceDE w:val="0"/>
              <w:autoSpaceDN w:val="0"/>
              <w:adjustRightInd w:val="0"/>
              <w:spacing w:after="0" w:line="48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rsidR="00FA1638" w:rsidRPr="00FA1638" w:rsidRDefault="00FA1638" w:rsidP="00952623">
            <w:pPr>
              <w:autoSpaceDE w:val="0"/>
              <w:autoSpaceDN w:val="0"/>
              <w:adjustRightInd w:val="0"/>
              <w:spacing w:after="0" w:line="480" w:lineRule="auto"/>
              <w:ind w:left="60" w:right="60"/>
              <w:rPr>
                <w:rFonts w:ascii="Arial" w:hAnsi="Arial" w:cs="Arial"/>
                <w:color w:val="264A60"/>
                <w:sz w:val="18"/>
                <w:szCs w:val="18"/>
              </w:rPr>
            </w:pPr>
            <w:r w:rsidRPr="00FA1638">
              <w:rPr>
                <w:rFonts w:ascii="Arial" w:hAnsi="Arial" w:cs="Arial"/>
                <w:color w:val="264A60"/>
                <w:sz w:val="18"/>
                <w:szCs w:val="18"/>
              </w:rPr>
              <w:t>Interquartile Range</w:t>
            </w:r>
          </w:p>
        </w:tc>
        <w:tc>
          <w:tcPr>
            <w:tcW w:w="1024" w:type="dxa"/>
            <w:tcBorders>
              <w:top w:val="single" w:sz="8" w:space="0" w:color="AEAEAE"/>
              <w:left w:val="nil"/>
              <w:bottom w:val="nil"/>
              <w:right w:val="single" w:sz="8" w:space="0" w:color="E0E0E0"/>
            </w:tcBorders>
            <w:shd w:val="clear" w:color="auto" w:fill="FFFFFF"/>
          </w:tcPr>
          <w:p w:rsidR="00FA1638" w:rsidRPr="00FA1638" w:rsidRDefault="00FA1638" w:rsidP="00952623">
            <w:pPr>
              <w:autoSpaceDE w:val="0"/>
              <w:autoSpaceDN w:val="0"/>
              <w:adjustRightInd w:val="0"/>
              <w:spacing w:after="0" w:line="480" w:lineRule="auto"/>
              <w:ind w:left="60" w:right="60"/>
              <w:jc w:val="right"/>
              <w:rPr>
                <w:rFonts w:ascii="Arial" w:hAnsi="Arial" w:cs="Arial"/>
                <w:color w:val="010205"/>
                <w:sz w:val="18"/>
                <w:szCs w:val="18"/>
              </w:rPr>
            </w:pPr>
            <w:r w:rsidRPr="00FA1638">
              <w:rPr>
                <w:rFonts w:ascii="Arial" w:hAnsi="Arial" w:cs="Arial"/>
                <w:color w:val="010205"/>
                <w:sz w:val="18"/>
                <w:szCs w:val="18"/>
              </w:rPr>
              <w:t>19</w:t>
            </w:r>
          </w:p>
        </w:tc>
        <w:tc>
          <w:tcPr>
            <w:tcW w:w="1070" w:type="dxa"/>
            <w:tcBorders>
              <w:top w:val="single" w:sz="8" w:space="0" w:color="AEAEAE"/>
              <w:left w:val="single" w:sz="8" w:space="0" w:color="E0E0E0"/>
              <w:bottom w:val="nil"/>
              <w:right w:val="nil"/>
            </w:tcBorders>
            <w:shd w:val="clear" w:color="auto" w:fill="FFFFFF"/>
            <w:vAlign w:val="center"/>
          </w:tcPr>
          <w:p w:rsidR="00FA1638" w:rsidRPr="00FA1638" w:rsidRDefault="00FA1638" w:rsidP="00952623">
            <w:pPr>
              <w:autoSpaceDE w:val="0"/>
              <w:autoSpaceDN w:val="0"/>
              <w:adjustRightInd w:val="0"/>
              <w:spacing w:after="0" w:line="480" w:lineRule="auto"/>
              <w:rPr>
                <w:rFonts w:ascii="Times New Roman" w:hAnsi="Times New Roman" w:cs="Times New Roman"/>
                <w:sz w:val="24"/>
                <w:szCs w:val="24"/>
              </w:rPr>
            </w:pPr>
          </w:p>
        </w:tc>
      </w:tr>
      <w:tr w:rsidR="00FA1638" w:rsidRPr="00FA1638">
        <w:trPr>
          <w:cantSplit/>
        </w:trPr>
        <w:tc>
          <w:tcPr>
            <w:tcW w:w="2447" w:type="dxa"/>
            <w:vMerge/>
            <w:tcBorders>
              <w:top w:val="single" w:sz="8" w:space="0" w:color="152935"/>
              <w:left w:val="nil"/>
              <w:bottom w:val="nil"/>
              <w:right w:val="nil"/>
            </w:tcBorders>
            <w:shd w:val="clear" w:color="auto" w:fill="E0E0E0"/>
          </w:tcPr>
          <w:p w:rsidR="00FA1638" w:rsidRPr="00FA1638" w:rsidRDefault="00FA1638" w:rsidP="00952623">
            <w:pPr>
              <w:autoSpaceDE w:val="0"/>
              <w:autoSpaceDN w:val="0"/>
              <w:adjustRightInd w:val="0"/>
              <w:spacing w:after="0" w:line="48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rsidR="00FA1638" w:rsidRPr="00FA1638" w:rsidRDefault="00FA1638" w:rsidP="00952623">
            <w:pPr>
              <w:autoSpaceDE w:val="0"/>
              <w:autoSpaceDN w:val="0"/>
              <w:adjustRightInd w:val="0"/>
              <w:spacing w:after="0" w:line="480" w:lineRule="auto"/>
              <w:ind w:left="60" w:right="60"/>
              <w:rPr>
                <w:rFonts w:ascii="Arial" w:hAnsi="Arial" w:cs="Arial"/>
                <w:color w:val="264A60"/>
                <w:sz w:val="18"/>
                <w:szCs w:val="18"/>
              </w:rPr>
            </w:pPr>
            <w:r w:rsidRPr="00FA1638">
              <w:rPr>
                <w:rFonts w:ascii="Arial" w:hAnsi="Arial" w:cs="Arial"/>
                <w:color w:val="264A60"/>
                <w:sz w:val="18"/>
                <w:szCs w:val="18"/>
              </w:rPr>
              <w:t>Skewness</w:t>
            </w:r>
          </w:p>
        </w:tc>
        <w:tc>
          <w:tcPr>
            <w:tcW w:w="1024" w:type="dxa"/>
            <w:tcBorders>
              <w:top w:val="single" w:sz="8" w:space="0" w:color="AEAEAE"/>
              <w:left w:val="nil"/>
              <w:bottom w:val="nil"/>
              <w:right w:val="single" w:sz="8" w:space="0" w:color="E0E0E0"/>
            </w:tcBorders>
            <w:shd w:val="clear" w:color="auto" w:fill="FFFFFF"/>
          </w:tcPr>
          <w:p w:rsidR="00FA1638" w:rsidRPr="00FA1638" w:rsidRDefault="00FA1638" w:rsidP="00952623">
            <w:pPr>
              <w:autoSpaceDE w:val="0"/>
              <w:autoSpaceDN w:val="0"/>
              <w:adjustRightInd w:val="0"/>
              <w:spacing w:after="0" w:line="480" w:lineRule="auto"/>
              <w:ind w:left="60" w:right="60"/>
              <w:jc w:val="right"/>
              <w:rPr>
                <w:rFonts w:ascii="Arial" w:hAnsi="Arial" w:cs="Arial"/>
                <w:color w:val="010205"/>
                <w:sz w:val="18"/>
                <w:szCs w:val="18"/>
              </w:rPr>
            </w:pPr>
            <w:r w:rsidRPr="00FA1638">
              <w:rPr>
                <w:rFonts w:ascii="Arial" w:hAnsi="Arial" w:cs="Arial"/>
                <w:color w:val="010205"/>
                <w:sz w:val="18"/>
                <w:szCs w:val="18"/>
              </w:rPr>
              <w:t>.571</w:t>
            </w:r>
          </w:p>
        </w:tc>
        <w:tc>
          <w:tcPr>
            <w:tcW w:w="1070" w:type="dxa"/>
            <w:tcBorders>
              <w:top w:val="single" w:sz="8" w:space="0" w:color="AEAEAE"/>
              <w:left w:val="single" w:sz="8" w:space="0" w:color="E0E0E0"/>
              <w:bottom w:val="nil"/>
              <w:right w:val="nil"/>
            </w:tcBorders>
            <w:shd w:val="clear" w:color="auto" w:fill="FFFFFF"/>
          </w:tcPr>
          <w:p w:rsidR="00FA1638" w:rsidRPr="00FA1638" w:rsidRDefault="00FA1638" w:rsidP="00952623">
            <w:pPr>
              <w:autoSpaceDE w:val="0"/>
              <w:autoSpaceDN w:val="0"/>
              <w:adjustRightInd w:val="0"/>
              <w:spacing w:after="0" w:line="480" w:lineRule="auto"/>
              <w:ind w:left="60" w:right="60"/>
              <w:jc w:val="right"/>
              <w:rPr>
                <w:rFonts w:ascii="Arial" w:hAnsi="Arial" w:cs="Arial"/>
                <w:color w:val="010205"/>
                <w:sz w:val="18"/>
                <w:szCs w:val="18"/>
              </w:rPr>
            </w:pPr>
            <w:r w:rsidRPr="00FA1638">
              <w:rPr>
                <w:rFonts w:ascii="Arial" w:hAnsi="Arial" w:cs="Arial"/>
                <w:color w:val="010205"/>
                <w:sz w:val="18"/>
                <w:szCs w:val="18"/>
              </w:rPr>
              <w:t>.009</w:t>
            </w:r>
          </w:p>
        </w:tc>
      </w:tr>
      <w:tr w:rsidR="00FA1638" w:rsidRPr="00FA1638">
        <w:trPr>
          <w:cantSplit/>
        </w:trPr>
        <w:tc>
          <w:tcPr>
            <w:tcW w:w="2447" w:type="dxa"/>
            <w:vMerge/>
            <w:tcBorders>
              <w:top w:val="single" w:sz="8" w:space="0" w:color="152935"/>
              <w:left w:val="nil"/>
              <w:bottom w:val="nil"/>
              <w:right w:val="nil"/>
            </w:tcBorders>
            <w:shd w:val="clear" w:color="auto" w:fill="E0E0E0"/>
          </w:tcPr>
          <w:p w:rsidR="00FA1638" w:rsidRPr="00FA1638" w:rsidRDefault="00FA1638" w:rsidP="00952623">
            <w:pPr>
              <w:autoSpaceDE w:val="0"/>
              <w:autoSpaceDN w:val="0"/>
              <w:adjustRightInd w:val="0"/>
              <w:spacing w:after="0" w:line="480" w:lineRule="auto"/>
              <w:rPr>
                <w:rFonts w:ascii="Arial" w:hAnsi="Arial" w:cs="Arial"/>
                <w:color w:val="010205"/>
                <w:sz w:val="18"/>
                <w:szCs w:val="18"/>
              </w:rPr>
            </w:pPr>
          </w:p>
        </w:tc>
        <w:tc>
          <w:tcPr>
            <w:tcW w:w="3854" w:type="dxa"/>
            <w:gridSpan w:val="2"/>
            <w:tcBorders>
              <w:top w:val="single" w:sz="8" w:space="0" w:color="AEAEAE"/>
              <w:left w:val="nil"/>
              <w:bottom w:val="nil"/>
              <w:right w:val="nil"/>
            </w:tcBorders>
            <w:shd w:val="clear" w:color="auto" w:fill="E0E0E0"/>
          </w:tcPr>
          <w:p w:rsidR="00FA1638" w:rsidRPr="00FA1638" w:rsidRDefault="00FA1638" w:rsidP="00952623">
            <w:pPr>
              <w:autoSpaceDE w:val="0"/>
              <w:autoSpaceDN w:val="0"/>
              <w:adjustRightInd w:val="0"/>
              <w:spacing w:after="0" w:line="480" w:lineRule="auto"/>
              <w:ind w:left="60" w:right="60"/>
              <w:rPr>
                <w:rFonts w:ascii="Arial" w:hAnsi="Arial" w:cs="Arial"/>
                <w:color w:val="264A60"/>
                <w:sz w:val="18"/>
                <w:szCs w:val="18"/>
              </w:rPr>
            </w:pPr>
            <w:r w:rsidRPr="00FA1638">
              <w:rPr>
                <w:rFonts w:ascii="Arial" w:hAnsi="Arial" w:cs="Arial"/>
                <w:color w:val="264A60"/>
                <w:sz w:val="18"/>
                <w:szCs w:val="18"/>
              </w:rPr>
              <w:t>Kurtosis</w:t>
            </w:r>
          </w:p>
        </w:tc>
        <w:tc>
          <w:tcPr>
            <w:tcW w:w="1024" w:type="dxa"/>
            <w:tcBorders>
              <w:top w:val="single" w:sz="8" w:space="0" w:color="AEAEAE"/>
              <w:left w:val="nil"/>
              <w:bottom w:val="nil"/>
              <w:right w:val="single" w:sz="8" w:space="0" w:color="E0E0E0"/>
            </w:tcBorders>
            <w:shd w:val="clear" w:color="auto" w:fill="FFFFFF"/>
          </w:tcPr>
          <w:p w:rsidR="00FA1638" w:rsidRPr="00FA1638" w:rsidRDefault="00FA1638" w:rsidP="00952623">
            <w:pPr>
              <w:autoSpaceDE w:val="0"/>
              <w:autoSpaceDN w:val="0"/>
              <w:adjustRightInd w:val="0"/>
              <w:spacing w:after="0" w:line="480" w:lineRule="auto"/>
              <w:ind w:left="60" w:right="60"/>
              <w:jc w:val="right"/>
              <w:rPr>
                <w:rFonts w:ascii="Arial" w:hAnsi="Arial" w:cs="Arial"/>
                <w:color w:val="010205"/>
                <w:sz w:val="18"/>
                <w:szCs w:val="18"/>
              </w:rPr>
            </w:pPr>
            <w:r w:rsidRPr="00FA1638">
              <w:rPr>
                <w:rFonts w:ascii="Arial" w:hAnsi="Arial" w:cs="Arial"/>
                <w:color w:val="010205"/>
                <w:sz w:val="18"/>
                <w:szCs w:val="18"/>
              </w:rPr>
              <w:t>-1.246</w:t>
            </w:r>
          </w:p>
        </w:tc>
        <w:tc>
          <w:tcPr>
            <w:tcW w:w="1070" w:type="dxa"/>
            <w:tcBorders>
              <w:top w:val="single" w:sz="8" w:space="0" w:color="AEAEAE"/>
              <w:left w:val="single" w:sz="8" w:space="0" w:color="E0E0E0"/>
              <w:bottom w:val="nil"/>
              <w:right w:val="nil"/>
            </w:tcBorders>
            <w:shd w:val="clear" w:color="auto" w:fill="FFFFFF"/>
          </w:tcPr>
          <w:p w:rsidR="00FA1638" w:rsidRPr="00FA1638" w:rsidRDefault="00FA1638" w:rsidP="00952623">
            <w:pPr>
              <w:autoSpaceDE w:val="0"/>
              <w:autoSpaceDN w:val="0"/>
              <w:adjustRightInd w:val="0"/>
              <w:spacing w:after="0" w:line="480" w:lineRule="auto"/>
              <w:ind w:left="60" w:right="60"/>
              <w:jc w:val="right"/>
              <w:rPr>
                <w:rFonts w:ascii="Arial" w:hAnsi="Arial" w:cs="Arial"/>
                <w:color w:val="010205"/>
                <w:sz w:val="18"/>
                <w:szCs w:val="18"/>
              </w:rPr>
            </w:pPr>
            <w:r w:rsidRPr="00FA1638">
              <w:rPr>
                <w:rFonts w:ascii="Arial" w:hAnsi="Arial" w:cs="Arial"/>
                <w:color w:val="010205"/>
                <w:sz w:val="18"/>
                <w:szCs w:val="18"/>
              </w:rPr>
              <w:t>.017</w:t>
            </w:r>
          </w:p>
        </w:tc>
      </w:tr>
      <w:tr w:rsidR="00FA1638" w:rsidRPr="00FA1638">
        <w:trPr>
          <w:cantSplit/>
        </w:trPr>
        <w:tc>
          <w:tcPr>
            <w:tcW w:w="2447" w:type="dxa"/>
            <w:vMerge w:val="restart"/>
            <w:tcBorders>
              <w:top w:val="single" w:sz="8" w:space="0" w:color="AEAEAE"/>
              <w:left w:val="nil"/>
              <w:bottom w:val="single" w:sz="8" w:space="0" w:color="152935"/>
              <w:right w:val="nil"/>
            </w:tcBorders>
            <w:shd w:val="clear" w:color="auto" w:fill="E0E0E0"/>
          </w:tcPr>
          <w:p w:rsidR="00FA1638" w:rsidRPr="00FA1638" w:rsidRDefault="00FA1638" w:rsidP="00952623">
            <w:pPr>
              <w:autoSpaceDE w:val="0"/>
              <w:autoSpaceDN w:val="0"/>
              <w:adjustRightInd w:val="0"/>
              <w:spacing w:after="0" w:line="480" w:lineRule="auto"/>
              <w:ind w:left="60" w:right="60"/>
              <w:rPr>
                <w:rFonts w:ascii="Arial" w:hAnsi="Arial" w:cs="Arial"/>
                <w:color w:val="264A60"/>
                <w:sz w:val="18"/>
                <w:szCs w:val="18"/>
              </w:rPr>
            </w:pPr>
            <w:r w:rsidRPr="00FA1638">
              <w:rPr>
                <w:rFonts w:ascii="Arial" w:hAnsi="Arial" w:cs="Arial"/>
                <w:color w:val="264A60"/>
                <w:sz w:val="18"/>
                <w:szCs w:val="18"/>
              </w:rPr>
              <w:t>NUMBER OF DAYS PHYSICAL HEALTH NOT GOOD</w:t>
            </w:r>
          </w:p>
        </w:tc>
        <w:tc>
          <w:tcPr>
            <w:tcW w:w="3854" w:type="dxa"/>
            <w:gridSpan w:val="2"/>
            <w:tcBorders>
              <w:top w:val="single" w:sz="8" w:space="0" w:color="AEAEAE"/>
              <w:left w:val="nil"/>
              <w:bottom w:val="nil"/>
              <w:right w:val="nil"/>
            </w:tcBorders>
            <w:shd w:val="clear" w:color="auto" w:fill="E0E0E0"/>
          </w:tcPr>
          <w:p w:rsidR="00FA1638" w:rsidRPr="00FA1638" w:rsidRDefault="00FA1638" w:rsidP="00952623">
            <w:pPr>
              <w:autoSpaceDE w:val="0"/>
              <w:autoSpaceDN w:val="0"/>
              <w:adjustRightInd w:val="0"/>
              <w:spacing w:after="0" w:line="480" w:lineRule="auto"/>
              <w:ind w:left="60" w:right="60"/>
              <w:rPr>
                <w:rFonts w:ascii="Arial" w:hAnsi="Arial" w:cs="Arial"/>
                <w:color w:val="264A60"/>
                <w:sz w:val="18"/>
                <w:szCs w:val="18"/>
              </w:rPr>
            </w:pPr>
            <w:r w:rsidRPr="00FA1638">
              <w:rPr>
                <w:rFonts w:ascii="Arial" w:hAnsi="Arial" w:cs="Arial"/>
                <w:color w:val="264A60"/>
                <w:sz w:val="18"/>
                <w:szCs w:val="18"/>
              </w:rPr>
              <w:t>Mean</w:t>
            </w:r>
          </w:p>
        </w:tc>
        <w:tc>
          <w:tcPr>
            <w:tcW w:w="1024" w:type="dxa"/>
            <w:tcBorders>
              <w:top w:val="single" w:sz="8" w:space="0" w:color="AEAEAE"/>
              <w:left w:val="nil"/>
              <w:bottom w:val="nil"/>
              <w:right w:val="single" w:sz="8" w:space="0" w:color="E0E0E0"/>
            </w:tcBorders>
            <w:shd w:val="clear" w:color="auto" w:fill="FFFFFF"/>
          </w:tcPr>
          <w:p w:rsidR="00FA1638" w:rsidRPr="00FA1638" w:rsidRDefault="00FA1638" w:rsidP="00952623">
            <w:pPr>
              <w:autoSpaceDE w:val="0"/>
              <w:autoSpaceDN w:val="0"/>
              <w:adjustRightInd w:val="0"/>
              <w:spacing w:after="0" w:line="480" w:lineRule="auto"/>
              <w:ind w:left="60" w:right="60"/>
              <w:jc w:val="right"/>
              <w:rPr>
                <w:rFonts w:ascii="Arial" w:hAnsi="Arial" w:cs="Arial"/>
                <w:color w:val="010205"/>
                <w:sz w:val="18"/>
                <w:szCs w:val="18"/>
              </w:rPr>
            </w:pPr>
            <w:r w:rsidRPr="00FA1638">
              <w:rPr>
                <w:rFonts w:ascii="Arial" w:hAnsi="Arial" w:cs="Arial"/>
                <w:color w:val="010205"/>
                <w:sz w:val="18"/>
                <w:szCs w:val="18"/>
              </w:rPr>
              <w:t>12.80</w:t>
            </w:r>
          </w:p>
        </w:tc>
        <w:tc>
          <w:tcPr>
            <w:tcW w:w="1070" w:type="dxa"/>
            <w:tcBorders>
              <w:top w:val="single" w:sz="8" w:space="0" w:color="AEAEAE"/>
              <w:left w:val="single" w:sz="8" w:space="0" w:color="E0E0E0"/>
              <w:bottom w:val="nil"/>
              <w:right w:val="nil"/>
            </w:tcBorders>
            <w:shd w:val="clear" w:color="auto" w:fill="FFFFFF"/>
          </w:tcPr>
          <w:p w:rsidR="00FA1638" w:rsidRPr="00FA1638" w:rsidRDefault="00FA1638" w:rsidP="00952623">
            <w:pPr>
              <w:autoSpaceDE w:val="0"/>
              <w:autoSpaceDN w:val="0"/>
              <w:adjustRightInd w:val="0"/>
              <w:spacing w:after="0" w:line="480" w:lineRule="auto"/>
              <w:ind w:left="60" w:right="60"/>
              <w:jc w:val="right"/>
              <w:rPr>
                <w:rFonts w:ascii="Arial" w:hAnsi="Arial" w:cs="Arial"/>
                <w:color w:val="010205"/>
                <w:sz w:val="18"/>
                <w:szCs w:val="18"/>
              </w:rPr>
            </w:pPr>
            <w:r w:rsidRPr="00FA1638">
              <w:rPr>
                <w:rFonts w:ascii="Arial" w:hAnsi="Arial" w:cs="Arial"/>
                <w:color w:val="010205"/>
                <w:sz w:val="18"/>
                <w:szCs w:val="18"/>
              </w:rPr>
              <w:t>.040</w:t>
            </w:r>
          </w:p>
        </w:tc>
      </w:tr>
      <w:tr w:rsidR="00FA1638" w:rsidRPr="00FA1638">
        <w:trPr>
          <w:cantSplit/>
        </w:trPr>
        <w:tc>
          <w:tcPr>
            <w:tcW w:w="2447" w:type="dxa"/>
            <w:vMerge/>
            <w:tcBorders>
              <w:top w:val="single" w:sz="8" w:space="0" w:color="AEAEAE"/>
              <w:left w:val="nil"/>
              <w:bottom w:val="single" w:sz="8" w:space="0" w:color="152935"/>
              <w:right w:val="nil"/>
            </w:tcBorders>
            <w:shd w:val="clear" w:color="auto" w:fill="E0E0E0"/>
          </w:tcPr>
          <w:p w:rsidR="00FA1638" w:rsidRPr="00FA1638" w:rsidRDefault="00FA1638" w:rsidP="00952623">
            <w:pPr>
              <w:autoSpaceDE w:val="0"/>
              <w:autoSpaceDN w:val="0"/>
              <w:adjustRightInd w:val="0"/>
              <w:spacing w:after="0" w:line="480" w:lineRule="auto"/>
              <w:rPr>
                <w:rFonts w:ascii="Arial" w:hAnsi="Arial" w:cs="Arial"/>
                <w:color w:val="010205"/>
                <w:sz w:val="18"/>
                <w:szCs w:val="18"/>
              </w:rPr>
            </w:pPr>
          </w:p>
        </w:tc>
        <w:tc>
          <w:tcPr>
            <w:tcW w:w="2447" w:type="dxa"/>
            <w:vMerge w:val="restart"/>
            <w:tcBorders>
              <w:top w:val="single" w:sz="8" w:space="0" w:color="AEAEAE"/>
              <w:left w:val="nil"/>
              <w:bottom w:val="nil"/>
              <w:right w:val="nil"/>
            </w:tcBorders>
            <w:shd w:val="clear" w:color="auto" w:fill="E0E0E0"/>
          </w:tcPr>
          <w:p w:rsidR="00FA1638" w:rsidRPr="00FA1638" w:rsidRDefault="00FA1638" w:rsidP="00952623">
            <w:pPr>
              <w:autoSpaceDE w:val="0"/>
              <w:autoSpaceDN w:val="0"/>
              <w:adjustRightInd w:val="0"/>
              <w:spacing w:after="0" w:line="480" w:lineRule="auto"/>
              <w:ind w:left="60" w:right="60"/>
              <w:rPr>
                <w:rFonts w:ascii="Arial" w:hAnsi="Arial" w:cs="Arial"/>
                <w:color w:val="264A60"/>
                <w:sz w:val="18"/>
                <w:szCs w:val="18"/>
              </w:rPr>
            </w:pPr>
            <w:r w:rsidRPr="00FA1638">
              <w:rPr>
                <w:rFonts w:ascii="Arial" w:hAnsi="Arial" w:cs="Arial"/>
                <w:color w:val="264A60"/>
                <w:sz w:val="18"/>
                <w:szCs w:val="18"/>
              </w:rPr>
              <w:t>95% Confidence Interval for Mean</w:t>
            </w:r>
          </w:p>
        </w:tc>
        <w:tc>
          <w:tcPr>
            <w:tcW w:w="1407" w:type="dxa"/>
            <w:tcBorders>
              <w:top w:val="single" w:sz="8" w:space="0" w:color="AEAEAE"/>
              <w:left w:val="nil"/>
              <w:bottom w:val="single" w:sz="8" w:space="0" w:color="AEAEAE"/>
              <w:right w:val="nil"/>
            </w:tcBorders>
            <w:shd w:val="clear" w:color="auto" w:fill="E0E0E0"/>
          </w:tcPr>
          <w:p w:rsidR="00FA1638" w:rsidRPr="00FA1638" w:rsidRDefault="00FA1638" w:rsidP="00952623">
            <w:pPr>
              <w:autoSpaceDE w:val="0"/>
              <w:autoSpaceDN w:val="0"/>
              <w:adjustRightInd w:val="0"/>
              <w:spacing w:after="0" w:line="480" w:lineRule="auto"/>
              <w:ind w:left="60" w:right="60"/>
              <w:rPr>
                <w:rFonts w:ascii="Arial" w:hAnsi="Arial" w:cs="Arial"/>
                <w:color w:val="264A60"/>
                <w:sz w:val="18"/>
                <w:szCs w:val="18"/>
              </w:rPr>
            </w:pPr>
            <w:r w:rsidRPr="00FA1638">
              <w:rPr>
                <w:rFonts w:ascii="Arial" w:hAnsi="Arial" w:cs="Arial"/>
                <w:color w:val="264A60"/>
                <w:sz w:val="18"/>
                <w:szCs w:val="18"/>
              </w:rPr>
              <w:t>Lower Bound</w:t>
            </w:r>
          </w:p>
        </w:tc>
        <w:tc>
          <w:tcPr>
            <w:tcW w:w="1024" w:type="dxa"/>
            <w:tcBorders>
              <w:top w:val="single" w:sz="8" w:space="0" w:color="AEAEAE"/>
              <w:left w:val="nil"/>
              <w:bottom w:val="single" w:sz="8" w:space="0" w:color="AEAEAE"/>
              <w:right w:val="single" w:sz="8" w:space="0" w:color="E0E0E0"/>
            </w:tcBorders>
            <w:shd w:val="clear" w:color="auto" w:fill="FFFFFF"/>
          </w:tcPr>
          <w:p w:rsidR="00FA1638" w:rsidRPr="00FA1638" w:rsidRDefault="00FA1638" w:rsidP="00952623">
            <w:pPr>
              <w:autoSpaceDE w:val="0"/>
              <w:autoSpaceDN w:val="0"/>
              <w:adjustRightInd w:val="0"/>
              <w:spacing w:after="0" w:line="480" w:lineRule="auto"/>
              <w:ind w:left="60" w:right="60"/>
              <w:jc w:val="right"/>
              <w:rPr>
                <w:rFonts w:ascii="Arial" w:hAnsi="Arial" w:cs="Arial"/>
                <w:color w:val="010205"/>
                <w:sz w:val="18"/>
                <w:szCs w:val="18"/>
              </w:rPr>
            </w:pPr>
            <w:r w:rsidRPr="00FA1638">
              <w:rPr>
                <w:rFonts w:ascii="Arial" w:hAnsi="Arial" w:cs="Arial"/>
                <w:color w:val="010205"/>
                <w:sz w:val="18"/>
                <w:szCs w:val="18"/>
              </w:rPr>
              <w:t>12.72</w:t>
            </w:r>
          </w:p>
        </w:tc>
        <w:tc>
          <w:tcPr>
            <w:tcW w:w="1070" w:type="dxa"/>
            <w:tcBorders>
              <w:top w:val="single" w:sz="8" w:space="0" w:color="AEAEAE"/>
              <w:left w:val="single" w:sz="8" w:space="0" w:color="E0E0E0"/>
              <w:bottom w:val="single" w:sz="8" w:space="0" w:color="AEAEAE"/>
              <w:right w:val="nil"/>
            </w:tcBorders>
            <w:shd w:val="clear" w:color="auto" w:fill="FFFFFF"/>
            <w:vAlign w:val="center"/>
          </w:tcPr>
          <w:p w:rsidR="00FA1638" w:rsidRPr="00FA1638" w:rsidRDefault="00FA1638" w:rsidP="00952623">
            <w:pPr>
              <w:autoSpaceDE w:val="0"/>
              <w:autoSpaceDN w:val="0"/>
              <w:adjustRightInd w:val="0"/>
              <w:spacing w:after="0" w:line="480" w:lineRule="auto"/>
              <w:rPr>
                <w:rFonts w:ascii="Times New Roman" w:hAnsi="Times New Roman" w:cs="Times New Roman"/>
                <w:sz w:val="24"/>
                <w:szCs w:val="24"/>
              </w:rPr>
            </w:pPr>
          </w:p>
        </w:tc>
      </w:tr>
      <w:tr w:rsidR="00FA1638" w:rsidRPr="00FA1638">
        <w:trPr>
          <w:cantSplit/>
        </w:trPr>
        <w:tc>
          <w:tcPr>
            <w:tcW w:w="2447" w:type="dxa"/>
            <w:vMerge/>
            <w:tcBorders>
              <w:top w:val="single" w:sz="8" w:space="0" w:color="AEAEAE"/>
              <w:left w:val="nil"/>
              <w:bottom w:val="single" w:sz="8" w:space="0" w:color="152935"/>
              <w:right w:val="nil"/>
            </w:tcBorders>
            <w:shd w:val="clear" w:color="auto" w:fill="E0E0E0"/>
          </w:tcPr>
          <w:p w:rsidR="00FA1638" w:rsidRPr="00FA1638" w:rsidRDefault="00FA1638" w:rsidP="00952623">
            <w:pPr>
              <w:autoSpaceDE w:val="0"/>
              <w:autoSpaceDN w:val="0"/>
              <w:adjustRightInd w:val="0"/>
              <w:spacing w:after="0" w:line="480" w:lineRule="auto"/>
              <w:rPr>
                <w:rFonts w:ascii="Times New Roman" w:hAnsi="Times New Roman" w:cs="Times New Roman"/>
                <w:sz w:val="24"/>
                <w:szCs w:val="24"/>
              </w:rPr>
            </w:pPr>
          </w:p>
        </w:tc>
        <w:tc>
          <w:tcPr>
            <w:tcW w:w="2447" w:type="dxa"/>
            <w:vMerge/>
            <w:tcBorders>
              <w:top w:val="single" w:sz="8" w:space="0" w:color="AEAEAE"/>
              <w:left w:val="nil"/>
              <w:bottom w:val="nil"/>
              <w:right w:val="nil"/>
            </w:tcBorders>
            <w:shd w:val="clear" w:color="auto" w:fill="E0E0E0"/>
          </w:tcPr>
          <w:p w:rsidR="00FA1638" w:rsidRPr="00FA1638" w:rsidRDefault="00FA1638" w:rsidP="00952623">
            <w:pPr>
              <w:autoSpaceDE w:val="0"/>
              <w:autoSpaceDN w:val="0"/>
              <w:adjustRightInd w:val="0"/>
              <w:spacing w:after="0" w:line="480" w:lineRule="auto"/>
              <w:rPr>
                <w:rFonts w:ascii="Times New Roman" w:hAnsi="Times New Roman" w:cs="Times New Roman"/>
                <w:sz w:val="24"/>
                <w:szCs w:val="24"/>
              </w:rPr>
            </w:pPr>
          </w:p>
        </w:tc>
        <w:tc>
          <w:tcPr>
            <w:tcW w:w="1407" w:type="dxa"/>
            <w:tcBorders>
              <w:top w:val="single" w:sz="8" w:space="0" w:color="AEAEAE"/>
              <w:left w:val="nil"/>
              <w:bottom w:val="nil"/>
              <w:right w:val="nil"/>
            </w:tcBorders>
            <w:shd w:val="clear" w:color="auto" w:fill="E0E0E0"/>
          </w:tcPr>
          <w:p w:rsidR="00FA1638" w:rsidRPr="00FA1638" w:rsidRDefault="00FA1638" w:rsidP="00952623">
            <w:pPr>
              <w:autoSpaceDE w:val="0"/>
              <w:autoSpaceDN w:val="0"/>
              <w:adjustRightInd w:val="0"/>
              <w:spacing w:after="0" w:line="480" w:lineRule="auto"/>
              <w:ind w:left="60" w:right="60"/>
              <w:rPr>
                <w:rFonts w:ascii="Arial" w:hAnsi="Arial" w:cs="Arial"/>
                <w:color w:val="264A60"/>
                <w:sz w:val="18"/>
                <w:szCs w:val="18"/>
              </w:rPr>
            </w:pPr>
            <w:r w:rsidRPr="00FA1638">
              <w:rPr>
                <w:rFonts w:ascii="Arial" w:hAnsi="Arial" w:cs="Arial"/>
                <w:color w:val="264A60"/>
                <w:sz w:val="18"/>
                <w:szCs w:val="18"/>
              </w:rPr>
              <w:t>Upper Bound</w:t>
            </w:r>
          </w:p>
        </w:tc>
        <w:tc>
          <w:tcPr>
            <w:tcW w:w="1024" w:type="dxa"/>
            <w:tcBorders>
              <w:top w:val="single" w:sz="8" w:space="0" w:color="AEAEAE"/>
              <w:left w:val="nil"/>
              <w:bottom w:val="nil"/>
              <w:right w:val="single" w:sz="8" w:space="0" w:color="E0E0E0"/>
            </w:tcBorders>
            <w:shd w:val="clear" w:color="auto" w:fill="FFFFFF"/>
          </w:tcPr>
          <w:p w:rsidR="00FA1638" w:rsidRPr="00FA1638" w:rsidRDefault="00FA1638" w:rsidP="00952623">
            <w:pPr>
              <w:autoSpaceDE w:val="0"/>
              <w:autoSpaceDN w:val="0"/>
              <w:adjustRightInd w:val="0"/>
              <w:spacing w:after="0" w:line="480" w:lineRule="auto"/>
              <w:ind w:left="60" w:right="60"/>
              <w:jc w:val="right"/>
              <w:rPr>
                <w:rFonts w:ascii="Arial" w:hAnsi="Arial" w:cs="Arial"/>
                <w:color w:val="010205"/>
                <w:sz w:val="18"/>
                <w:szCs w:val="18"/>
              </w:rPr>
            </w:pPr>
            <w:r w:rsidRPr="00FA1638">
              <w:rPr>
                <w:rFonts w:ascii="Arial" w:hAnsi="Arial" w:cs="Arial"/>
                <w:color w:val="010205"/>
                <w:sz w:val="18"/>
                <w:szCs w:val="18"/>
              </w:rPr>
              <w:t>12.88</w:t>
            </w:r>
          </w:p>
        </w:tc>
        <w:tc>
          <w:tcPr>
            <w:tcW w:w="1070" w:type="dxa"/>
            <w:tcBorders>
              <w:top w:val="single" w:sz="8" w:space="0" w:color="AEAEAE"/>
              <w:left w:val="single" w:sz="8" w:space="0" w:color="E0E0E0"/>
              <w:bottom w:val="nil"/>
              <w:right w:val="nil"/>
            </w:tcBorders>
            <w:shd w:val="clear" w:color="auto" w:fill="FFFFFF"/>
            <w:vAlign w:val="center"/>
          </w:tcPr>
          <w:p w:rsidR="00FA1638" w:rsidRPr="00FA1638" w:rsidRDefault="00FA1638" w:rsidP="00952623">
            <w:pPr>
              <w:autoSpaceDE w:val="0"/>
              <w:autoSpaceDN w:val="0"/>
              <w:adjustRightInd w:val="0"/>
              <w:spacing w:after="0" w:line="480" w:lineRule="auto"/>
              <w:rPr>
                <w:rFonts w:ascii="Times New Roman" w:hAnsi="Times New Roman" w:cs="Times New Roman"/>
                <w:sz w:val="24"/>
                <w:szCs w:val="24"/>
              </w:rPr>
            </w:pPr>
          </w:p>
        </w:tc>
      </w:tr>
      <w:tr w:rsidR="00FA1638" w:rsidRPr="00FA1638">
        <w:trPr>
          <w:cantSplit/>
        </w:trPr>
        <w:tc>
          <w:tcPr>
            <w:tcW w:w="2447" w:type="dxa"/>
            <w:vMerge/>
            <w:tcBorders>
              <w:top w:val="single" w:sz="8" w:space="0" w:color="AEAEAE"/>
              <w:left w:val="nil"/>
              <w:bottom w:val="single" w:sz="8" w:space="0" w:color="152935"/>
              <w:right w:val="nil"/>
            </w:tcBorders>
            <w:shd w:val="clear" w:color="auto" w:fill="E0E0E0"/>
          </w:tcPr>
          <w:p w:rsidR="00FA1638" w:rsidRPr="00FA1638" w:rsidRDefault="00FA1638" w:rsidP="00952623">
            <w:pPr>
              <w:autoSpaceDE w:val="0"/>
              <w:autoSpaceDN w:val="0"/>
              <w:adjustRightInd w:val="0"/>
              <w:spacing w:after="0" w:line="48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rsidR="00FA1638" w:rsidRPr="00FA1638" w:rsidRDefault="00FA1638" w:rsidP="00952623">
            <w:pPr>
              <w:autoSpaceDE w:val="0"/>
              <w:autoSpaceDN w:val="0"/>
              <w:adjustRightInd w:val="0"/>
              <w:spacing w:after="0" w:line="480" w:lineRule="auto"/>
              <w:ind w:left="60" w:right="60"/>
              <w:rPr>
                <w:rFonts w:ascii="Arial" w:hAnsi="Arial" w:cs="Arial"/>
                <w:color w:val="264A60"/>
                <w:sz w:val="18"/>
                <w:szCs w:val="18"/>
              </w:rPr>
            </w:pPr>
            <w:r w:rsidRPr="00FA1638">
              <w:rPr>
                <w:rFonts w:ascii="Arial" w:hAnsi="Arial" w:cs="Arial"/>
                <w:color w:val="264A60"/>
                <w:sz w:val="18"/>
                <w:szCs w:val="18"/>
              </w:rPr>
              <w:t>5% Trimmed Mean</w:t>
            </w:r>
          </w:p>
        </w:tc>
        <w:tc>
          <w:tcPr>
            <w:tcW w:w="1024" w:type="dxa"/>
            <w:tcBorders>
              <w:top w:val="single" w:sz="8" w:space="0" w:color="AEAEAE"/>
              <w:left w:val="nil"/>
              <w:bottom w:val="nil"/>
              <w:right w:val="single" w:sz="8" w:space="0" w:color="E0E0E0"/>
            </w:tcBorders>
            <w:shd w:val="clear" w:color="auto" w:fill="FFFFFF"/>
          </w:tcPr>
          <w:p w:rsidR="00FA1638" w:rsidRPr="00FA1638" w:rsidRDefault="00FA1638" w:rsidP="00952623">
            <w:pPr>
              <w:autoSpaceDE w:val="0"/>
              <w:autoSpaceDN w:val="0"/>
              <w:adjustRightInd w:val="0"/>
              <w:spacing w:after="0" w:line="480" w:lineRule="auto"/>
              <w:ind w:left="60" w:right="60"/>
              <w:jc w:val="right"/>
              <w:rPr>
                <w:rFonts w:ascii="Arial" w:hAnsi="Arial" w:cs="Arial"/>
                <w:color w:val="010205"/>
                <w:sz w:val="18"/>
                <w:szCs w:val="18"/>
              </w:rPr>
            </w:pPr>
            <w:r w:rsidRPr="00FA1638">
              <w:rPr>
                <w:rFonts w:ascii="Arial" w:hAnsi="Arial" w:cs="Arial"/>
                <w:color w:val="010205"/>
                <w:sz w:val="18"/>
                <w:szCs w:val="18"/>
              </w:rPr>
              <w:t>12.50</w:t>
            </w:r>
          </w:p>
        </w:tc>
        <w:tc>
          <w:tcPr>
            <w:tcW w:w="1070" w:type="dxa"/>
            <w:tcBorders>
              <w:top w:val="single" w:sz="8" w:space="0" w:color="AEAEAE"/>
              <w:left w:val="single" w:sz="8" w:space="0" w:color="E0E0E0"/>
              <w:bottom w:val="nil"/>
              <w:right w:val="nil"/>
            </w:tcBorders>
            <w:shd w:val="clear" w:color="auto" w:fill="FFFFFF"/>
            <w:vAlign w:val="center"/>
          </w:tcPr>
          <w:p w:rsidR="00FA1638" w:rsidRPr="00FA1638" w:rsidRDefault="00FA1638" w:rsidP="00952623">
            <w:pPr>
              <w:autoSpaceDE w:val="0"/>
              <w:autoSpaceDN w:val="0"/>
              <w:adjustRightInd w:val="0"/>
              <w:spacing w:after="0" w:line="480" w:lineRule="auto"/>
              <w:rPr>
                <w:rFonts w:ascii="Times New Roman" w:hAnsi="Times New Roman" w:cs="Times New Roman"/>
                <w:sz w:val="24"/>
                <w:szCs w:val="24"/>
              </w:rPr>
            </w:pPr>
          </w:p>
        </w:tc>
      </w:tr>
      <w:tr w:rsidR="00FA1638" w:rsidRPr="00FA1638">
        <w:trPr>
          <w:cantSplit/>
        </w:trPr>
        <w:tc>
          <w:tcPr>
            <w:tcW w:w="2447" w:type="dxa"/>
            <w:vMerge/>
            <w:tcBorders>
              <w:top w:val="single" w:sz="8" w:space="0" w:color="AEAEAE"/>
              <w:left w:val="nil"/>
              <w:bottom w:val="single" w:sz="8" w:space="0" w:color="152935"/>
              <w:right w:val="nil"/>
            </w:tcBorders>
            <w:shd w:val="clear" w:color="auto" w:fill="E0E0E0"/>
          </w:tcPr>
          <w:p w:rsidR="00FA1638" w:rsidRPr="00FA1638" w:rsidRDefault="00FA1638" w:rsidP="00952623">
            <w:pPr>
              <w:autoSpaceDE w:val="0"/>
              <w:autoSpaceDN w:val="0"/>
              <w:adjustRightInd w:val="0"/>
              <w:spacing w:after="0" w:line="48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rsidR="00FA1638" w:rsidRPr="00FA1638" w:rsidRDefault="00FA1638" w:rsidP="00952623">
            <w:pPr>
              <w:autoSpaceDE w:val="0"/>
              <w:autoSpaceDN w:val="0"/>
              <w:adjustRightInd w:val="0"/>
              <w:spacing w:after="0" w:line="480" w:lineRule="auto"/>
              <w:ind w:left="60" w:right="60"/>
              <w:rPr>
                <w:rFonts w:ascii="Arial" w:hAnsi="Arial" w:cs="Arial"/>
                <w:color w:val="264A60"/>
                <w:sz w:val="18"/>
                <w:szCs w:val="18"/>
              </w:rPr>
            </w:pPr>
            <w:r w:rsidRPr="00FA1638">
              <w:rPr>
                <w:rFonts w:ascii="Arial" w:hAnsi="Arial" w:cs="Arial"/>
                <w:color w:val="264A60"/>
                <w:sz w:val="18"/>
                <w:szCs w:val="18"/>
              </w:rPr>
              <w:t>Median</w:t>
            </w:r>
          </w:p>
        </w:tc>
        <w:tc>
          <w:tcPr>
            <w:tcW w:w="1024" w:type="dxa"/>
            <w:tcBorders>
              <w:top w:val="single" w:sz="8" w:space="0" w:color="AEAEAE"/>
              <w:left w:val="nil"/>
              <w:bottom w:val="nil"/>
              <w:right w:val="single" w:sz="8" w:space="0" w:color="E0E0E0"/>
            </w:tcBorders>
            <w:shd w:val="clear" w:color="auto" w:fill="FFFFFF"/>
          </w:tcPr>
          <w:p w:rsidR="00FA1638" w:rsidRPr="00FA1638" w:rsidRDefault="00FA1638" w:rsidP="00952623">
            <w:pPr>
              <w:autoSpaceDE w:val="0"/>
              <w:autoSpaceDN w:val="0"/>
              <w:adjustRightInd w:val="0"/>
              <w:spacing w:after="0" w:line="480" w:lineRule="auto"/>
              <w:ind w:left="60" w:right="60"/>
              <w:jc w:val="right"/>
              <w:rPr>
                <w:rFonts w:ascii="Arial" w:hAnsi="Arial" w:cs="Arial"/>
                <w:color w:val="010205"/>
                <w:sz w:val="18"/>
                <w:szCs w:val="18"/>
              </w:rPr>
            </w:pPr>
            <w:r w:rsidRPr="00FA1638">
              <w:rPr>
                <w:rFonts w:ascii="Arial" w:hAnsi="Arial" w:cs="Arial"/>
                <w:color w:val="010205"/>
                <w:sz w:val="18"/>
                <w:szCs w:val="18"/>
              </w:rPr>
              <w:t>7.00</w:t>
            </w:r>
          </w:p>
        </w:tc>
        <w:tc>
          <w:tcPr>
            <w:tcW w:w="1070" w:type="dxa"/>
            <w:tcBorders>
              <w:top w:val="single" w:sz="8" w:space="0" w:color="AEAEAE"/>
              <w:left w:val="single" w:sz="8" w:space="0" w:color="E0E0E0"/>
              <w:bottom w:val="nil"/>
              <w:right w:val="nil"/>
            </w:tcBorders>
            <w:shd w:val="clear" w:color="auto" w:fill="FFFFFF"/>
            <w:vAlign w:val="center"/>
          </w:tcPr>
          <w:p w:rsidR="00FA1638" w:rsidRPr="00FA1638" w:rsidRDefault="00FA1638" w:rsidP="00952623">
            <w:pPr>
              <w:autoSpaceDE w:val="0"/>
              <w:autoSpaceDN w:val="0"/>
              <w:adjustRightInd w:val="0"/>
              <w:spacing w:after="0" w:line="480" w:lineRule="auto"/>
              <w:rPr>
                <w:rFonts w:ascii="Times New Roman" w:hAnsi="Times New Roman" w:cs="Times New Roman"/>
                <w:sz w:val="24"/>
                <w:szCs w:val="24"/>
              </w:rPr>
            </w:pPr>
          </w:p>
        </w:tc>
      </w:tr>
      <w:tr w:rsidR="00FA1638" w:rsidRPr="00FA1638">
        <w:trPr>
          <w:cantSplit/>
        </w:trPr>
        <w:tc>
          <w:tcPr>
            <w:tcW w:w="2447" w:type="dxa"/>
            <w:vMerge/>
            <w:tcBorders>
              <w:top w:val="single" w:sz="8" w:space="0" w:color="AEAEAE"/>
              <w:left w:val="nil"/>
              <w:bottom w:val="single" w:sz="8" w:space="0" w:color="152935"/>
              <w:right w:val="nil"/>
            </w:tcBorders>
            <w:shd w:val="clear" w:color="auto" w:fill="E0E0E0"/>
          </w:tcPr>
          <w:p w:rsidR="00FA1638" w:rsidRPr="00FA1638" w:rsidRDefault="00FA1638" w:rsidP="00952623">
            <w:pPr>
              <w:autoSpaceDE w:val="0"/>
              <w:autoSpaceDN w:val="0"/>
              <w:adjustRightInd w:val="0"/>
              <w:spacing w:after="0" w:line="48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rsidR="00FA1638" w:rsidRPr="00FA1638" w:rsidRDefault="00FA1638" w:rsidP="00952623">
            <w:pPr>
              <w:autoSpaceDE w:val="0"/>
              <w:autoSpaceDN w:val="0"/>
              <w:adjustRightInd w:val="0"/>
              <w:spacing w:after="0" w:line="480" w:lineRule="auto"/>
              <w:ind w:left="60" w:right="60"/>
              <w:rPr>
                <w:rFonts w:ascii="Arial" w:hAnsi="Arial" w:cs="Arial"/>
                <w:color w:val="264A60"/>
                <w:sz w:val="18"/>
                <w:szCs w:val="18"/>
              </w:rPr>
            </w:pPr>
            <w:r w:rsidRPr="00FA1638">
              <w:rPr>
                <w:rFonts w:ascii="Arial" w:hAnsi="Arial" w:cs="Arial"/>
                <w:color w:val="264A60"/>
                <w:sz w:val="18"/>
                <w:szCs w:val="18"/>
              </w:rPr>
              <w:t>Variance</w:t>
            </w:r>
          </w:p>
        </w:tc>
        <w:tc>
          <w:tcPr>
            <w:tcW w:w="1024" w:type="dxa"/>
            <w:tcBorders>
              <w:top w:val="single" w:sz="8" w:space="0" w:color="AEAEAE"/>
              <w:left w:val="nil"/>
              <w:bottom w:val="nil"/>
              <w:right w:val="single" w:sz="8" w:space="0" w:color="E0E0E0"/>
            </w:tcBorders>
            <w:shd w:val="clear" w:color="auto" w:fill="FFFFFF"/>
          </w:tcPr>
          <w:p w:rsidR="00FA1638" w:rsidRPr="00FA1638" w:rsidRDefault="00FA1638" w:rsidP="00952623">
            <w:pPr>
              <w:autoSpaceDE w:val="0"/>
              <w:autoSpaceDN w:val="0"/>
              <w:adjustRightInd w:val="0"/>
              <w:spacing w:after="0" w:line="480" w:lineRule="auto"/>
              <w:ind w:left="60" w:right="60"/>
              <w:jc w:val="right"/>
              <w:rPr>
                <w:rFonts w:ascii="Arial" w:hAnsi="Arial" w:cs="Arial"/>
                <w:color w:val="010205"/>
                <w:sz w:val="18"/>
                <w:szCs w:val="18"/>
              </w:rPr>
            </w:pPr>
            <w:r w:rsidRPr="00FA1638">
              <w:rPr>
                <w:rFonts w:ascii="Arial" w:hAnsi="Arial" w:cs="Arial"/>
                <w:color w:val="010205"/>
                <w:sz w:val="18"/>
                <w:szCs w:val="18"/>
              </w:rPr>
              <w:t>127.598</w:t>
            </w:r>
          </w:p>
        </w:tc>
        <w:tc>
          <w:tcPr>
            <w:tcW w:w="1070" w:type="dxa"/>
            <w:tcBorders>
              <w:top w:val="single" w:sz="8" w:space="0" w:color="AEAEAE"/>
              <w:left w:val="single" w:sz="8" w:space="0" w:color="E0E0E0"/>
              <w:bottom w:val="nil"/>
              <w:right w:val="nil"/>
            </w:tcBorders>
            <w:shd w:val="clear" w:color="auto" w:fill="FFFFFF"/>
            <w:vAlign w:val="center"/>
          </w:tcPr>
          <w:p w:rsidR="00FA1638" w:rsidRPr="00FA1638" w:rsidRDefault="00FA1638" w:rsidP="00952623">
            <w:pPr>
              <w:autoSpaceDE w:val="0"/>
              <w:autoSpaceDN w:val="0"/>
              <w:adjustRightInd w:val="0"/>
              <w:spacing w:after="0" w:line="480" w:lineRule="auto"/>
              <w:rPr>
                <w:rFonts w:ascii="Times New Roman" w:hAnsi="Times New Roman" w:cs="Times New Roman"/>
                <w:sz w:val="24"/>
                <w:szCs w:val="24"/>
              </w:rPr>
            </w:pPr>
          </w:p>
        </w:tc>
      </w:tr>
      <w:tr w:rsidR="00FA1638" w:rsidRPr="00FA1638">
        <w:trPr>
          <w:cantSplit/>
        </w:trPr>
        <w:tc>
          <w:tcPr>
            <w:tcW w:w="2447" w:type="dxa"/>
            <w:vMerge/>
            <w:tcBorders>
              <w:top w:val="single" w:sz="8" w:space="0" w:color="AEAEAE"/>
              <w:left w:val="nil"/>
              <w:bottom w:val="single" w:sz="8" w:space="0" w:color="152935"/>
              <w:right w:val="nil"/>
            </w:tcBorders>
            <w:shd w:val="clear" w:color="auto" w:fill="E0E0E0"/>
          </w:tcPr>
          <w:p w:rsidR="00FA1638" w:rsidRPr="00FA1638" w:rsidRDefault="00FA1638" w:rsidP="00952623">
            <w:pPr>
              <w:autoSpaceDE w:val="0"/>
              <w:autoSpaceDN w:val="0"/>
              <w:adjustRightInd w:val="0"/>
              <w:spacing w:after="0" w:line="48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rsidR="00FA1638" w:rsidRPr="00FA1638" w:rsidRDefault="00FA1638" w:rsidP="00952623">
            <w:pPr>
              <w:autoSpaceDE w:val="0"/>
              <w:autoSpaceDN w:val="0"/>
              <w:adjustRightInd w:val="0"/>
              <w:spacing w:after="0" w:line="480" w:lineRule="auto"/>
              <w:ind w:left="60" w:right="60"/>
              <w:rPr>
                <w:rFonts w:ascii="Arial" w:hAnsi="Arial" w:cs="Arial"/>
                <w:color w:val="264A60"/>
                <w:sz w:val="18"/>
                <w:szCs w:val="18"/>
              </w:rPr>
            </w:pPr>
            <w:r w:rsidRPr="00FA1638">
              <w:rPr>
                <w:rFonts w:ascii="Arial" w:hAnsi="Arial" w:cs="Arial"/>
                <w:color w:val="264A60"/>
                <w:sz w:val="18"/>
                <w:szCs w:val="18"/>
              </w:rPr>
              <w:t>Std. Deviation</w:t>
            </w:r>
          </w:p>
        </w:tc>
        <w:tc>
          <w:tcPr>
            <w:tcW w:w="1024" w:type="dxa"/>
            <w:tcBorders>
              <w:top w:val="single" w:sz="8" w:space="0" w:color="AEAEAE"/>
              <w:left w:val="nil"/>
              <w:bottom w:val="nil"/>
              <w:right w:val="single" w:sz="8" w:space="0" w:color="E0E0E0"/>
            </w:tcBorders>
            <w:shd w:val="clear" w:color="auto" w:fill="FFFFFF"/>
          </w:tcPr>
          <w:p w:rsidR="00FA1638" w:rsidRPr="00FA1638" w:rsidRDefault="00FA1638" w:rsidP="00952623">
            <w:pPr>
              <w:autoSpaceDE w:val="0"/>
              <w:autoSpaceDN w:val="0"/>
              <w:adjustRightInd w:val="0"/>
              <w:spacing w:after="0" w:line="480" w:lineRule="auto"/>
              <w:ind w:left="60" w:right="60"/>
              <w:jc w:val="right"/>
              <w:rPr>
                <w:rFonts w:ascii="Arial" w:hAnsi="Arial" w:cs="Arial"/>
                <w:color w:val="010205"/>
                <w:sz w:val="18"/>
                <w:szCs w:val="18"/>
              </w:rPr>
            </w:pPr>
            <w:r w:rsidRPr="00FA1638">
              <w:rPr>
                <w:rFonts w:ascii="Arial" w:hAnsi="Arial" w:cs="Arial"/>
                <w:color w:val="010205"/>
                <w:sz w:val="18"/>
                <w:szCs w:val="18"/>
              </w:rPr>
              <w:t>11.296</w:t>
            </w:r>
          </w:p>
        </w:tc>
        <w:tc>
          <w:tcPr>
            <w:tcW w:w="1070" w:type="dxa"/>
            <w:tcBorders>
              <w:top w:val="single" w:sz="8" w:space="0" w:color="AEAEAE"/>
              <w:left w:val="single" w:sz="8" w:space="0" w:color="E0E0E0"/>
              <w:bottom w:val="nil"/>
              <w:right w:val="nil"/>
            </w:tcBorders>
            <w:shd w:val="clear" w:color="auto" w:fill="FFFFFF"/>
            <w:vAlign w:val="center"/>
          </w:tcPr>
          <w:p w:rsidR="00FA1638" w:rsidRPr="00FA1638" w:rsidRDefault="00FA1638" w:rsidP="00952623">
            <w:pPr>
              <w:autoSpaceDE w:val="0"/>
              <w:autoSpaceDN w:val="0"/>
              <w:adjustRightInd w:val="0"/>
              <w:spacing w:after="0" w:line="480" w:lineRule="auto"/>
              <w:rPr>
                <w:rFonts w:ascii="Times New Roman" w:hAnsi="Times New Roman" w:cs="Times New Roman"/>
                <w:sz w:val="24"/>
                <w:szCs w:val="24"/>
              </w:rPr>
            </w:pPr>
          </w:p>
        </w:tc>
      </w:tr>
      <w:tr w:rsidR="00FA1638" w:rsidRPr="00FA1638">
        <w:trPr>
          <w:cantSplit/>
        </w:trPr>
        <w:tc>
          <w:tcPr>
            <w:tcW w:w="2447" w:type="dxa"/>
            <w:vMerge/>
            <w:tcBorders>
              <w:top w:val="single" w:sz="8" w:space="0" w:color="AEAEAE"/>
              <w:left w:val="nil"/>
              <w:bottom w:val="single" w:sz="8" w:space="0" w:color="152935"/>
              <w:right w:val="nil"/>
            </w:tcBorders>
            <w:shd w:val="clear" w:color="auto" w:fill="E0E0E0"/>
          </w:tcPr>
          <w:p w:rsidR="00FA1638" w:rsidRPr="00FA1638" w:rsidRDefault="00FA1638" w:rsidP="00952623">
            <w:pPr>
              <w:autoSpaceDE w:val="0"/>
              <w:autoSpaceDN w:val="0"/>
              <w:adjustRightInd w:val="0"/>
              <w:spacing w:after="0" w:line="48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rsidR="00FA1638" w:rsidRPr="00FA1638" w:rsidRDefault="00FA1638" w:rsidP="00952623">
            <w:pPr>
              <w:autoSpaceDE w:val="0"/>
              <w:autoSpaceDN w:val="0"/>
              <w:adjustRightInd w:val="0"/>
              <w:spacing w:after="0" w:line="480" w:lineRule="auto"/>
              <w:ind w:left="60" w:right="60"/>
              <w:rPr>
                <w:rFonts w:ascii="Arial" w:hAnsi="Arial" w:cs="Arial"/>
                <w:color w:val="264A60"/>
                <w:sz w:val="18"/>
                <w:szCs w:val="18"/>
              </w:rPr>
            </w:pPr>
            <w:r w:rsidRPr="00FA1638">
              <w:rPr>
                <w:rFonts w:ascii="Arial" w:hAnsi="Arial" w:cs="Arial"/>
                <w:color w:val="264A60"/>
                <w:sz w:val="18"/>
                <w:szCs w:val="18"/>
              </w:rPr>
              <w:t>Minimum</w:t>
            </w:r>
          </w:p>
        </w:tc>
        <w:tc>
          <w:tcPr>
            <w:tcW w:w="1024" w:type="dxa"/>
            <w:tcBorders>
              <w:top w:val="single" w:sz="8" w:space="0" w:color="AEAEAE"/>
              <w:left w:val="nil"/>
              <w:bottom w:val="nil"/>
              <w:right w:val="single" w:sz="8" w:space="0" w:color="E0E0E0"/>
            </w:tcBorders>
            <w:shd w:val="clear" w:color="auto" w:fill="FFFFFF"/>
          </w:tcPr>
          <w:p w:rsidR="00FA1638" w:rsidRPr="00FA1638" w:rsidRDefault="00FA1638" w:rsidP="00952623">
            <w:pPr>
              <w:autoSpaceDE w:val="0"/>
              <w:autoSpaceDN w:val="0"/>
              <w:adjustRightInd w:val="0"/>
              <w:spacing w:after="0" w:line="480" w:lineRule="auto"/>
              <w:ind w:left="60" w:right="60"/>
              <w:jc w:val="right"/>
              <w:rPr>
                <w:rFonts w:ascii="Arial" w:hAnsi="Arial" w:cs="Arial"/>
                <w:color w:val="010205"/>
                <w:sz w:val="18"/>
                <w:szCs w:val="18"/>
              </w:rPr>
            </w:pPr>
            <w:r w:rsidRPr="00FA1638">
              <w:rPr>
                <w:rFonts w:ascii="Arial" w:hAnsi="Arial" w:cs="Arial"/>
                <w:color w:val="010205"/>
                <w:sz w:val="18"/>
                <w:szCs w:val="18"/>
              </w:rPr>
              <w:t>1</w:t>
            </w:r>
          </w:p>
        </w:tc>
        <w:tc>
          <w:tcPr>
            <w:tcW w:w="1070" w:type="dxa"/>
            <w:tcBorders>
              <w:top w:val="single" w:sz="8" w:space="0" w:color="AEAEAE"/>
              <w:left w:val="single" w:sz="8" w:space="0" w:color="E0E0E0"/>
              <w:bottom w:val="nil"/>
              <w:right w:val="nil"/>
            </w:tcBorders>
            <w:shd w:val="clear" w:color="auto" w:fill="FFFFFF"/>
            <w:vAlign w:val="center"/>
          </w:tcPr>
          <w:p w:rsidR="00FA1638" w:rsidRPr="00FA1638" w:rsidRDefault="00FA1638" w:rsidP="00952623">
            <w:pPr>
              <w:autoSpaceDE w:val="0"/>
              <w:autoSpaceDN w:val="0"/>
              <w:adjustRightInd w:val="0"/>
              <w:spacing w:after="0" w:line="480" w:lineRule="auto"/>
              <w:rPr>
                <w:rFonts w:ascii="Times New Roman" w:hAnsi="Times New Roman" w:cs="Times New Roman"/>
                <w:sz w:val="24"/>
                <w:szCs w:val="24"/>
              </w:rPr>
            </w:pPr>
          </w:p>
        </w:tc>
      </w:tr>
      <w:tr w:rsidR="00FA1638" w:rsidRPr="00FA1638">
        <w:trPr>
          <w:cantSplit/>
        </w:trPr>
        <w:tc>
          <w:tcPr>
            <w:tcW w:w="2447" w:type="dxa"/>
            <w:vMerge/>
            <w:tcBorders>
              <w:top w:val="single" w:sz="8" w:space="0" w:color="AEAEAE"/>
              <w:left w:val="nil"/>
              <w:bottom w:val="single" w:sz="8" w:space="0" w:color="152935"/>
              <w:right w:val="nil"/>
            </w:tcBorders>
            <w:shd w:val="clear" w:color="auto" w:fill="E0E0E0"/>
          </w:tcPr>
          <w:p w:rsidR="00FA1638" w:rsidRPr="00FA1638" w:rsidRDefault="00FA1638" w:rsidP="00952623">
            <w:pPr>
              <w:autoSpaceDE w:val="0"/>
              <w:autoSpaceDN w:val="0"/>
              <w:adjustRightInd w:val="0"/>
              <w:spacing w:after="0" w:line="48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rsidR="00FA1638" w:rsidRPr="00FA1638" w:rsidRDefault="00FA1638" w:rsidP="00952623">
            <w:pPr>
              <w:autoSpaceDE w:val="0"/>
              <w:autoSpaceDN w:val="0"/>
              <w:adjustRightInd w:val="0"/>
              <w:spacing w:after="0" w:line="480" w:lineRule="auto"/>
              <w:ind w:left="60" w:right="60"/>
              <w:rPr>
                <w:rFonts w:ascii="Arial" w:hAnsi="Arial" w:cs="Arial"/>
                <w:color w:val="264A60"/>
                <w:sz w:val="18"/>
                <w:szCs w:val="18"/>
              </w:rPr>
            </w:pPr>
            <w:r w:rsidRPr="00FA1638">
              <w:rPr>
                <w:rFonts w:ascii="Arial" w:hAnsi="Arial" w:cs="Arial"/>
                <w:color w:val="264A60"/>
                <w:sz w:val="18"/>
                <w:szCs w:val="18"/>
              </w:rPr>
              <w:t>Maximum</w:t>
            </w:r>
          </w:p>
        </w:tc>
        <w:tc>
          <w:tcPr>
            <w:tcW w:w="1024" w:type="dxa"/>
            <w:tcBorders>
              <w:top w:val="single" w:sz="8" w:space="0" w:color="AEAEAE"/>
              <w:left w:val="nil"/>
              <w:bottom w:val="nil"/>
              <w:right w:val="single" w:sz="8" w:space="0" w:color="E0E0E0"/>
            </w:tcBorders>
            <w:shd w:val="clear" w:color="auto" w:fill="FFFFFF"/>
          </w:tcPr>
          <w:p w:rsidR="00FA1638" w:rsidRPr="00FA1638" w:rsidRDefault="00FA1638" w:rsidP="00952623">
            <w:pPr>
              <w:autoSpaceDE w:val="0"/>
              <w:autoSpaceDN w:val="0"/>
              <w:adjustRightInd w:val="0"/>
              <w:spacing w:after="0" w:line="480" w:lineRule="auto"/>
              <w:ind w:left="60" w:right="60"/>
              <w:jc w:val="right"/>
              <w:rPr>
                <w:rFonts w:ascii="Arial" w:hAnsi="Arial" w:cs="Arial"/>
                <w:color w:val="010205"/>
                <w:sz w:val="18"/>
                <w:szCs w:val="18"/>
              </w:rPr>
            </w:pPr>
            <w:r w:rsidRPr="00FA1638">
              <w:rPr>
                <w:rFonts w:ascii="Arial" w:hAnsi="Arial" w:cs="Arial"/>
                <w:color w:val="010205"/>
                <w:sz w:val="18"/>
                <w:szCs w:val="18"/>
              </w:rPr>
              <w:t>30</w:t>
            </w:r>
          </w:p>
        </w:tc>
        <w:tc>
          <w:tcPr>
            <w:tcW w:w="1070" w:type="dxa"/>
            <w:tcBorders>
              <w:top w:val="single" w:sz="8" w:space="0" w:color="AEAEAE"/>
              <w:left w:val="single" w:sz="8" w:space="0" w:color="E0E0E0"/>
              <w:bottom w:val="nil"/>
              <w:right w:val="nil"/>
            </w:tcBorders>
            <w:shd w:val="clear" w:color="auto" w:fill="FFFFFF"/>
            <w:vAlign w:val="center"/>
          </w:tcPr>
          <w:p w:rsidR="00FA1638" w:rsidRPr="00FA1638" w:rsidRDefault="00FA1638" w:rsidP="00952623">
            <w:pPr>
              <w:autoSpaceDE w:val="0"/>
              <w:autoSpaceDN w:val="0"/>
              <w:adjustRightInd w:val="0"/>
              <w:spacing w:after="0" w:line="480" w:lineRule="auto"/>
              <w:rPr>
                <w:rFonts w:ascii="Times New Roman" w:hAnsi="Times New Roman" w:cs="Times New Roman"/>
                <w:sz w:val="24"/>
                <w:szCs w:val="24"/>
              </w:rPr>
            </w:pPr>
          </w:p>
        </w:tc>
      </w:tr>
      <w:tr w:rsidR="00FA1638" w:rsidRPr="00FA1638">
        <w:trPr>
          <w:cantSplit/>
        </w:trPr>
        <w:tc>
          <w:tcPr>
            <w:tcW w:w="2447" w:type="dxa"/>
            <w:vMerge/>
            <w:tcBorders>
              <w:top w:val="single" w:sz="8" w:space="0" w:color="AEAEAE"/>
              <w:left w:val="nil"/>
              <w:bottom w:val="single" w:sz="8" w:space="0" w:color="152935"/>
              <w:right w:val="nil"/>
            </w:tcBorders>
            <w:shd w:val="clear" w:color="auto" w:fill="E0E0E0"/>
          </w:tcPr>
          <w:p w:rsidR="00FA1638" w:rsidRPr="00FA1638" w:rsidRDefault="00FA1638" w:rsidP="00952623">
            <w:pPr>
              <w:autoSpaceDE w:val="0"/>
              <w:autoSpaceDN w:val="0"/>
              <w:adjustRightInd w:val="0"/>
              <w:spacing w:after="0" w:line="48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rsidR="00FA1638" w:rsidRPr="00FA1638" w:rsidRDefault="00FA1638" w:rsidP="00952623">
            <w:pPr>
              <w:autoSpaceDE w:val="0"/>
              <w:autoSpaceDN w:val="0"/>
              <w:adjustRightInd w:val="0"/>
              <w:spacing w:after="0" w:line="480" w:lineRule="auto"/>
              <w:ind w:left="60" w:right="60"/>
              <w:rPr>
                <w:rFonts w:ascii="Arial" w:hAnsi="Arial" w:cs="Arial"/>
                <w:color w:val="264A60"/>
                <w:sz w:val="18"/>
                <w:szCs w:val="18"/>
              </w:rPr>
            </w:pPr>
            <w:r w:rsidRPr="00FA1638">
              <w:rPr>
                <w:rFonts w:ascii="Arial" w:hAnsi="Arial" w:cs="Arial"/>
                <w:color w:val="264A60"/>
                <w:sz w:val="18"/>
                <w:szCs w:val="18"/>
              </w:rPr>
              <w:t>Range</w:t>
            </w:r>
          </w:p>
        </w:tc>
        <w:tc>
          <w:tcPr>
            <w:tcW w:w="1024" w:type="dxa"/>
            <w:tcBorders>
              <w:top w:val="single" w:sz="8" w:space="0" w:color="AEAEAE"/>
              <w:left w:val="nil"/>
              <w:bottom w:val="nil"/>
              <w:right w:val="single" w:sz="8" w:space="0" w:color="E0E0E0"/>
            </w:tcBorders>
            <w:shd w:val="clear" w:color="auto" w:fill="FFFFFF"/>
          </w:tcPr>
          <w:p w:rsidR="00FA1638" w:rsidRPr="00FA1638" w:rsidRDefault="00FA1638" w:rsidP="00952623">
            <w:pPr>
              <w:autoSpaceDE w:val="0"/>
              <w:autoSpaceDN w:val="0"/>
              <w:adjustRightInd w:val="0"/>
              <w:spacing w:after="0" w:line="480" w:lineRule="auto"/>
              <w:ind w:left="60" w:right="60"/>
              <w:jc w:val="right"/>
              <w:rPr>
                <w:rFonts w:ascii="Arial" w:hAnsi="Arial" w:cs="Arial"/>
                <w:color w:val="010205"/>
                <w:sz w:val="18"/>
                <w:szCs w:val="18"/>
              </w:rPr>
            </w:pPr>
            <w:r w:rsidRPr="00FA1638">
              <w:rPr>
                <w:rFonts w:ascii="Arial" w:hAnsi="Arial" w:cs="Arial"/>
                <w:color w:val="010205"/>
                <w:sz w:val="18"/>
                <w:szCs w:val="18"/>
              </w:rPr>
              <w:t>29</w:t>
            </w:r>
          </w:p>
        </w:tc>
        <w:tc>
          <w:tcPr>
            <w:tcW w:w="1070" w:type="dxa"/>
            <w:tcBorders>
              <w:top w:val="single" w:sz="8" w:space="0" w:color="AEAEAE"/>
              <w:left w:val="single" w:sz="8" w:space="0" w:color="E0E0E0"/>
              <w:bottom w:val="nil"/>
              <w:right w:val="nil"/>
            </w:tcBorders>
            <w:shd w:val="clear" w:color="auto" w:fill="FFFFFF"/>
            <w:vAlign w:val="center"/>
          </w:tcPr>
          <w:p w:rsidR="00FA1638" w:rsidRPr="00FA1638" w:rsidRDefault="00FA1638" w:rsidP="00952623">
            <w:pPr>
              <w:autoSpaceDE w:val="0"/>
              <w:autoSpaceDN w:val="0"/>
              <w:adjustRightInd w:val="0"/>
              <w:spacing w:after="0" w:line="480" w:lineRule="auto"/>
              <w:rPr>
                <w:rFonts w:ascii="Times New Roman" w:hAnsi="Times New Roman" w:cs="Times New Roman"/>
                <w:sz w:val="24"/>
                <w:szCs w:val="24"/>
              </w:rPr>
            </w:pPr>
          </w:p>
        </w:tc>
      </w:tr>
      <w:tr w:rsidR="00FA1638" w:rsidRPr="00FA1638">
        <w:trPr>
          <w:cantSplit/>
        </w:trPr>
        <w:tc>
          <w:tcPr>
            <w:tcW w:w="2447" w:type="dxa"/>
            <w:vMerge/>
            <w:tcBorders>
              <w:top w:val="single" w:sz="8" w:space="0" w:color="AEAEAE"/>
              <w:left w:val="nil"/>
              <w:bottom w:val="single" w:sz="8" w:space="0" w:color="152935"/>
              <w:right w:val="nil"/>
            </w:tcBorders>
            <w:shd w:val="clear" w:color="auto" w:fill="E0E0E0"/>
          </w:tcPr>
          <w:p w:rsidR="00FA1638" w:rsidRPr="00FA1638" w:rsidRDefault="00FA1638" w:rsidP="00952623">
            <w:pPr>
              <w:autoSpaceDE w:val="0"/>
              <w:autoSpaceDN w:val="0"/>
              <w:adjustRightInd w:val="0"/>
              <w:spacing w:after="0" w:line="48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rsidR="00FA1638" w:rsidRPr="00FA1638" w:rsidRDefault="00FA1638" w:rsidP="00952623">
            <w:pPr>
              <w:autoSpaceDE w:val="0"/>
              <w:autoSpaceDN w:val="0"/>
              <w:adjustRightInd w:val="0"/>
              <w:spacing w:after="0" w:line="480" w:lineRule="auto"/>
              <w:ind w:left="60" w:right="60"/>
              <w:rPr>
                <w:rFonts w:ascii="Arial" w:hAnsi="Arial" w:cs="Arial"/>
                <w:color w:val="264A60"/>
                <w:sz w:val="18"/>
                <w:szCs w:val="18"/>
              </w:rPr>
            </w:pPr>
            <w:r w:rsidRPr="00FA1638">
              <w:rPr>
                <w:rFonts w:ascii="Arial" w:hAnsi="Arial" w:cs="Arial"/>
                <w:color w:val="264A60"/>
                <w:sz w:val="18"/>
                <w:szCs w:val="18"/>
              </w:rPr>
              <w:t>Interquartile Range</w:t>
            </w:r>
          </w:p>
        </w:tc>
        <w:tc>
          <w:tcPr>
            <w:tcW w:w="1024" w:type="dxa"/>
            <w:tcBorders>
              <w:top w:val="single" w:sz="8" w:space="0" w:color="AEAEAE"/>
              <w:left w:val="nil"/>
              <w:bottom w:val="nil"/>
              <w:right w:val="single" w:sz="8" w:space="0" w:color="E0E0E0"/>
            </w:tcBorders>
            <w:shd w:val="clear" w:color="auto" w:fill="FFFFFF"/>
          </w:tcPr>
          <w:p w:rsidR="00FA1638" w:rsidRPr="00FA1638" w:rsidRDefault="00FA1638" w:rsidP="00952623">
            <w:pPr>
              <w:autoSpaceDE w:val="0"/>
              <w:autoSpaceDN w:val="0"/>
              <w:adjustRightInd w:val="0"/>
              <w:spacing w:after="0" w:line="480" w:lineRule="auto"/>
              <w:ind w:left="60" w:right="60"/>
              <w:jc w:val="right"/>
              <w:rPr>
                <w:rFonts w:ascii="Arial" w:hAnsi="Arial" w:cs="Arial"/>
                <w:color w:val="010205"/>
                <w:sz w:val="18"/>
                <w:szCs w:val="18"/>
              </w:rPr>
            </w:pPr>
            <w:r w:rsidRPr="00FA1638">
              <w:rPr>
                <w:rFonts w:ascii="Arial" w:hAnsi="Arial" w:cs="Arial"/>
                <w:color w:val="010205"/>
                <w:sz w:val="18"/>
                <w:szCs w:val="18"/>
              </w:rPr>
              <w:t>22</w:t>
            </w:r>
          </w:p>
        </w:tc>
        <w:tc>
          <w:tcPr>
            <w:tcW w:w="1070" w:type="dxa"/>
            <w:tcBorders>
              <w:top w:val="single" w:sz="8" w:space="0" w:color="AEAEAE"/>
              <w:left w:val="single" w:sz="8" w:space="0" w:color="E0E0E0"/>
              <w:bottom w:val="nil"/>
              <w:right w:val="nil"/>
            </w:tcBorders>
            <w:shd w:val="clear" w:color="auto" w:fill="FFFFFF"/>
            <w:vAlign w:val="center"/>
          </w:tcPr>
          <w:p w:rsidR="00FA1638" w:rsidRPr="00FA1638" w:rsidRDefault="00FA1638" w:rsidP="00952623">
            <w:pPr>
              <w:autoSpaceDE w:val="0"/>
              <w:autoSpaceDN w:val="0"/>
              <w:adjustRightInd w:val="0"/>
              <w:spacing w:after="0" w:line="480" w:lineRule="auto"/>
              <w:rPr>
                <w:rFonts w:ascii="Times New Roman" w:hAnsi="Times New Roman" w:cs="Times New Roman"/>
                <w:sz w:val="24"/>
                <w:szCs w:val="24"/>
              </w:rPr>
            </w:pPr>
          </w:p>
        </w:tc>
      </w:tr>
      <w:tr w:rsidR="00FA1638" w:rsidRPr="00FA1638">
        <w:trPr>
          <w:cantSplit/>
        </w:trPr>
        <w:tc>
          <w:tcPr>
            <w:tcW w:w="2447" w:type="dxa"/>
            <w:vMerge/>
            <w:tcBorders>
              <w:top w:val="single" w:sz="8" w:space="0" w:color="AEAEAE"/>
              <w:left w:val="nil"/>
              <w:bottom w:val="single" w:sz="8" w:space="0" w:color="152935"/>
              <w:right w:val="nil"/>
            </w:tcBorders>
            <w:shd w:val="clear" w:color="auto" w:fill="E0E0E0"/>
          </w:tcPr>
          <w:p w:rsidR="00FA1638" w:rsidRPr="00FA1638" w:rsidRDefault="00FA1638" w:rsidP="00952623">
            <w:pPr>
              <w:autoSpaceDE w:val="0"/>
              <w:autoSpaceDN w:val="0"/>
              <w:adjustRightInd w:val="0"/>
              <w:spacing w:after="0" w:line="480" w:lineRule="auto"/>
              <w:rPr>
                <w:rFonts w:ascii="Times New Roman" w:hAnsi="Times New Roman" w:cs="Times New Roman"/>
                <w:sz w:val="24"/>
                <w:szCs w:val="24"/>
              </w:rPr>
            </w:pPr>
          </w:p>
        </w:tc>
        <w:tc>
          <w:tcPr>
            <w:tcW w:w="3854" w:type="dxa"/>
            <w:gridSpan w:val="2"/>
            <w:tcBorders>
              <w:top w:val="single" w:sz="8" w:space="0" w:color="AEAEAE"/>
              <w:left w:val="nil"/>
              <w:bottom w:val="nil"/>
              <w:right w:val="nil"/>
            </w:tcBorders>
            <w:shd w:val="clear" w:color="auto" w:fill="E0E0E0"/>
          </w:tcPr>
          <w:p w:rsidR="00FA1638" w:rsidRPr="00FA1638" w:rsidRDefault="00FA1638" w:rsidP="00952623">
            <w:pPr>
              <w:autoSpaceDE w:val="0"/>
              <w:autoSpaceDN w:val="0"/>
              <w:adjustRightInd w:val="0"/>
              <w:spacing w:after="0" w:line="480" w:lineRule="auto"/>
              <w:ind w:left="60" w:right="60"/>
              <w:rPr>
                <w:rFonts w:ascii="Arial" w:hAnsi="Arial" w:cs="Arial"/>
                <w:color w:val="264A60"/>
                <w:sz w:val="18"/>
                <w:szCs w:val="18"/>
              </w:rPr>
            </w:pPr>
            <w:r w:rsidRPr="00FA1638">
              <w:rPr>
                <w:rFonts w:ascii="Arial" w:hAnsi="Arial" w:cs="Arial"/>
                <w:color w:val="264A60"/>
                <w:sz w:val="18"/>
                <w:szCs w:val="18"/>
              </w:rPr>
              <w:t>Skewness</w:t>
            </w:r>
          </w:p>
        </w:tc>
        <w:tc>
          <w:tcPr>
            <w:tcW w:w="1024" w:type="dxa"/>
            <w:tcBorders>
              <w:top w:val="single" w:sz="8" w:space="0" w:color="AEAEAE"/>
              <w:left w:val="nil"/>
              <w:bottom w:val="nil"/>
              <w:right w:val="single" w:sz="8" w:space="0" w:color="E0E0E0"/>
            </w:tcBorders>
            <w:shd w:val="clear" w:color="auto" w:fill="FFFFFF"/>
          </w:tcPr>
          <w:p w:rsidR="00FA1638" w:rsidRPr="00FA1638" w:rsidRDefault="00FA1638" w:rsidP="00952623">
            <w:pPr>
              <w:autoSpaceDE w:val="0"/>
              <w:autoSpaceDN w:val="0"/>
              <w:adjustRightInd w:val="0"/>
              <w:spacing w:after="0" w:line="480" w:lineRule="auto"/>
              <w:ind w:left="60" w:right="60"/>
              <w:jc w:val="right"/>
              <w:rPr>
                <w:rFonts w:ascii="Arial" w:hAnsi="Arial" w:cs="Arial"/>
                <w:color w:val="010205"/>
                <w:sz w:val="18"/>
                <w:szCs w:val="18"/>
              </w:rPr>
            </w:pPr>
            <w:r w:rsidRPr="00FA1638">
              <w:rPr>
                <w:rFonts w:ascii="Arial" w:hAnsi="Arial" w:cs="Arial"/>
                <w:color w:val="010205"/>
                <w:sz w:val="18"/>
                <w:szCs w:val="18"/>
              </w:rPr>
              <w:t>.553</w:t>
            </w:r>
          </w:p>
        </w:tc>
        <w:tc>
          <w:tcPr>
            <w:tcW w:w="1070" w:type="dxa"/>
            <w:tcBorders>
              <w:top w:val="single" w:sz="8" w:space="0" w:color="AEAEAE"/>
              <w:left w:val="single" w:sz="8" w:space="0" w:color="E0E0E0"/>
              <w:bottom w:val="nil"/>
              <w:right w:val="nil"/>
            </w:tcBorders>
            <w:shd w:val="clear" w:color="auto" w:fill="FFFFFF"/>
          </w:tcPr>
          <w:p w:rsidR="00FA1638" w:rsidRPr="00FA1638" w:rsidRDefault="00FA1638" w:rsidP="00952623">
            <w:pPr>
              <w:autoSpaceDE w:val="0"/>
              <w:autoSpaceDN w:val="0"/>
              <w:adjustRightInd w:val="0"/>
              <w:spacing w:after="0" w:line="480" w:lineRule="auto"/>
              <w:ind w:left="60" w:right="60"/>
              <w:jc w:val="right"/>
              <w:rPr>
                <w:rFonts w:ascii="Arial" w:hAnsi="Arial" w:cs="Arial"/>
                <w:color w:val="010205"/>
                <w:sz w:val="18"/>
                <w:szCs w:val="18"/>
              </w:rPr>
            </w:pPr>
            <w:r w:rsidRPr="00FA1638">
              <w:rPr>
                <w:rFonts w:ascii="Arial" w:hAnsi="Arial" w:cs="Arial"/>
                <w:color w:val="010205"/>
                <w:sz w:val="18"/>
                <w:szCs w:val="18"/>
              </w:rPr>
              <w:t>.009</w:t>
            </w:r>
          </w:p>
        </w:tc>
      </w:tr>
      <w:tr w:rsidR="00FA1638" w:rsidRPr="00FA1638">
        <w:trPr>
          <w:cantSplit/>
        </w:trPr>
        <w:tc>
          <w:tcPr>
            <w:tcW w:w="2447" w:type="dxa"/>
            <w:vMerge/>
            <w:tcBorders>
              <w:top w:val="single" w:sz="8" w:space="0" w:color="AEAEAE"/>
              <w:left w:val="nil"/>
              <w:bottom w:val="single" w:sz="8" w:space="0" w:color="152935"/>
              <w:right w:val="nil"/>
            </w:tcBorders>
            <w:shd w:val="clear" w:color="auto" w:fill="E0E0E0"/>
          </w:tcPr>
          <w:p w:rsidR="00FA1638" w:rsidRPr="00FA1638" w:rsidRDefault="00FA1638" w:rsidP="00952623">
            <w:pPr>
              <w:autoSpaceDE w:val="0"/>
              <w:autoSpaceDN w:val="0"/>
              <w:adjustRightInd w:val="0"/>
              <w:spacing w:after="0" w:line="480" w:lineRule="auto"/>
              <w:rPr>
                <w:rFonts w:ascii="Arial" w:hAnsi="Arial" w:cs="Arial"/>
                <w:color w:val="010205"/>
                <w:sz w:val="18"/>
                <w:szCs w:val="18"/>
              </w:rPr>
            </w:pPr>
          </w:p>
        </w:tc>
        <w:tc>
          <w:tcPr>
            <w:tcW w:w="3854" w:type="dxa"/>
            <w:gridSpan w:val="2"/>
            <w:tcBorders>
              <w:top w:val="single" w:sz="8" w:space="0" w:color="AEAEAE"/>
              <w:left w:val="nil"/>
              <w:bottom w:val="single" w:sz="8" w:space="0" w:color="152935"/>
              <w:right w:val="nil"/>
            </w:tcBorders>
            <w:shd w:val="clear" w:color="auto" w:fill="E0E0E0"/>
          </w:tcPr>
          <w:p w:rsidR="00FA1638" w:rsidRPr="00FA1638" w:rsidRDefault="00FA1638" w:rsidP="00952623">
            <w:pPr>
              <w:autoSpaceDE w:val="0"/>
              <w:autoSpaceDN w:val="0"/>
              <w:adjustRightInd w:val="0"/>
              <w:spacing w:after="0" w:line="480" w:lineRule="auto"/>
              <w:ind w:left="60" w:right="60"/>
              <w:rPr>
                <w:rFonts w:ascii="Arial" w:hAnsi="Arial" w:cs="Arial"/>
                <w:color w:val="264A60"/>
                <w:sz w:val="18"/>
                <w:szCs w:val="18"/>
              </w:rPr>
            </w:pPr>
            <w:r w:rsidRPr="00FA1638">
              <w:rPr>
                <w:rFonts w:ascii="Arial" w:hAnsi="Arial" w:cs="Arial"/>
                <w:color w:val="264A60"/>
                <w:sz w:val="18"/>
                <w:szCs w:val="18"/>
              </w:rPr>
              <w:t>Kurtosis</w:t>
            </w:r>
          </w:p>
        </w:tc>
        <w:tc>
          <w:tcPr>
            <w:tcW w:w="1024" w:type="dxa"/>
            <w:tcBorders>
              <w:top w:val="single" w:sz="8" w:space="0" w:color="AEAEAE"/>
              <w:left w:val="nil"/>
              <w:bottom w:val="single" w:sz="8" w:space="0" w:color="152935"/>
              <w:right w:val="single" w:sz="8" w:space="0" w:color="E0E0E0"/>
            </w:tcBorders>
            <w:shd w:val="clear" w:color="auto" w:fill="FFFFFF"/>
          </w:tcPr>
          <w:p w:rsidR="00FA1638" w:rsidRPr="00FA1638" w:rsidRDefault="00FA1638" w:rsidP="00952623">
            <w:pPr>
              <w:autoSpaceDE w:val="0"/>
              <w:autoSpaceDN w:val="0"/>
              <w:adjustRightInd w:val="0"/>
              <w:spacing w:after="0" w:line="480" w:lineRule="auto"/>
              <w:ind w:left="60" w:right="60"/>
              <w:jc w:val="right"/>
              <w:rPr>
                <w:rFonts w:ascii="Arial" w:hAnsi="Arial" w:cs="Arial"/>
                <w:color w:val="010205"/>
                <w:sz w:val="18"/>
                <w:szCs w:val="18"/>
              </w:rPr>
            </w:pPr>
            <w:r w:rsidRPr="00FA1638">
              <w:rPr>
                <w:rFonts w:ascii="Arial" w:hAnsi="Arial" w:cs="Arial"/>
                <w:color w:val="010205"/>
                <w:sz w:val="18"/>
                <w:szCs w:val="18"/>
              </w:rPr>
              <w:t>-1.342</w:t>
            </w:r>
          </w:p>
        </w:tc>
        <w:tc>
          <w:tcPr>
            <w:tcW w:w="1070" w:type="dxa"/>
            <w:tcBorders>
              <w:top w:val="single" w:sz="8" w:space="0" w:color="AEAEAE"/>
              <w:left w:val="single" w:sz="8" w:space="0" w:color="E0E0E0"/>
              <w:bottom w:val="single" w:sz="8" w:space="0" w:color="152935"/>
              <w:right w:val="nil"/>
            </w:tcBorders>
            <w:shd w:val="clear" w:color="auto" w:fill="FFFFFF"/>
          </w:tcPr>
          <w:p w:rsidR="00FA1638" w:rsidRPr="00FA1638" w:rsidRDefault="00FA1638" w:rsidP="00952623">
            <w:pPr>
              <w:autoSpaceDE w:val="0"/>
              <w:autoSpaceDN w:val="0"/>
              <w:adjustRightInd w:val="0"/>
              <w:spacing w:after="0" w:line="480" w:lineRule="auto"/>
              <w:ind w:left="60" w:right="60"/>
              <w:jc w:val="right"/>
              <w:rPr>
                <w:rFonts w:ascii="Arial" w:hAnsi="Arial" w:cs="Arial"/>
                <w:color w:val="010205"/>
                <w:sz w:val="18"/>
                <w:szCs w:val="18"/>
              </w:rPr>
            </w:pPr>
            <w:r w:rsidRPr="00FA1638">
              <w:rPr>
                <w:rFonts w:ascii="Arial" w:hAnsi="Arial" w:cs="Arial"/>
                <w:color w:val="010205"/>
                <w:sz w:val="18"/>
                <w:szCs w:val="18"/>
              </w:rPr>
              <w:t>.017</w:t>
            </w:r>
          </w:p>
        </w:tc>
      </w:tr>
    </w:tbl>
    <w:p w:rsidR="00FA1638" w:rsidRDefault="00FA1638" w:rsidP="00952623">
      <w:pPr>
        <w:autoSpaceDE w:val="0"/>
        <w:autoSpaceDN w:val="0"/>
        <w:adjustRightInd w:val="0"/>
        <w:spacing w:after="0" w:line="480" w:lineRule="auto"/>
        <w:rPr>
          <w:rFonts w:ascii="Times New Roman" w:hAnsi="Times New Roman" w:cs="Times New Roman"/>
          <w:sz w:val="24"/>
          <w:szCs w:val="24"/>
        </w:rPr>
      </w:pPr>
    </w:p>
    <w:p w:rsidR="00952623" w:rsidRDefault="00952623" w:rsidP="00952623">
      <w:pPr>
        <w:autoSpaceDE w:val="0"/>
        <w:autoSpaceDN w:val="0"/>
        <w:adjustRightInd w:val="0"/>
        <w:spacing w:after="0" w:line="480" w:lineRule="auto"/>
        <w:rPr>
          <w:rFonts w:ascii="Times New Roman" w:hAnsi="Times New Roman" w:cs="Times New Roman"/>
          <w:sz w:val="24"/>
          <w:szCs w:val="24"/>
        </w:rPr>
      </w:pPr>
    </w:p>
    <w:p w:rsidR="00952623" w:rsidRDefault="00952623" w:rsidP="00952623">
      <w:pPr>
        <w:autoSpaceDE w:val="0"/>
        <w:autoSpaceDN w:val="0"/>
        <w:adjustRightInd w:val="0"/>
        <w:spacing w:after="0" w:line="480" w:lineRule="auto"/>
        <w:rPr>
          <w:rFonts w:ascii="Times New Roman" w:hAnsi="Times New Roman" w:cs="Times New Roman"/>
          <w:sz w:val="24"/>
          <w:szCs w:val="24"/>
        </w:rPr>
      </w:pPr>
    </w:p>
    <w:p w:rsidR="00952623" w:rsidRPr="00FA1638" w:rsidRDefault="00952623" w:rsidP="00952623">
      <w:pPr>
        <w:autoSpaceDE w:val="0"/>
        <w:autoSpaceDN w:val="0"/>
        <w:adjustRightInd w:val="0"/>
        <w:spacing w:after="0" w:line="480" w:lineRule="auto"/>
        <w:rPr>
          <w:rFonts w:ascii="Times New Roman" w:hAnsi="Times New Roman" w:cs="Times New Roman"/>
          <w:sz w:val="24"/>
          <w:szCs w:val="24"/>
        </w:rPr>
      </w:pPr>
    </w:p>
    <w:p w:rsidR="00FA1638" w:rsidRDefault="00FA1638" w:rsidP="00952623">
      <w:pPr>
        <w:spacing w:line="480" w:lineRule="auto"/>
        <w:rPr>
          <w:b/>
        </w:rPr>
      </w:pPr>
      <w:r>
        <w:rPr>
          <w:b/>
        </w:rPr>
        <w:lastRenderedPageBreak/>
        <w:t>Table 3 Tests of Normality</w:t>
      </w:r>
    </w:p>
    <w:p w:rsidR="00FA1638" w:rsidRPr="00FA1638" w:rsidRDefault="00FA1638" w:rsidP="00952623">
      <w:pPr>
        <w:autoSpaceDE w:val="0"/>
        <w:autoSpaceDN w:val="0"/>
        <w:adjustRightInd w:val="0"/>
        <w:spacing w:after="0" w:line="480" w:lineRule="auto"/>
        <w:rPr>
          <w:rFonts w:ascii="Times New Roman" w:hAnsi="Times New Roman" w:cs="Times New Roman"/>
          <w:sz w:val="24"/>
          <w:szCs w:val="24"/>
        </w:rPr>
      </w:pPr>
    </w:p>
    <w:tbl>
      <w:tblPr>
        <w:tblW w:w="552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447"/>
        <w:gridCol w:w="1025"/>
        <w:gridCol w:w="1025"/>
        <w:gridCol w:w="1025"/>
      </w:tblGrid>
      <w:tr w:rsidR="00FA1638" w:rsidRPr="00FA1638">
        <w:trPr>
          <w:cantSplit/>
        </w:trPr>
        <w:tc>
          <w:tcPr>
            <w:tcW w:w="5519" w:type="dxa"/>
            <w:gridSpan w:val="4"/>
            <w:tcBorders>
              <w:top w:val="nil"/>
              <w:left w:val="nil"/>
              <w:bottom w:val="nil"/>
              <w:right w:val="nil"/>
            </w:tcBorders>
            <w:shd w:val="clear" w:color="auto" w:fill="FFFFFF"/>
            <w:vAlign w:val="center"/>
          </w:tcPr>
          <w:p w:rsidR="00FA1638" w:rsidRPr="00FA1638" w:rsidRDefault="00FA1638" w:rsidP="00952623">
            <w:pPr>
              <w:autoSpaceDE w:val="0"/>
              <w:autoSpaceDN w:val="0"/>
              <w:adjustRightInd w:val="0"/>
              <w:spacing w:after="0" w:line="480" w:lineRule="auto"/>
              <w:ind w:left="60" w:right="60"/>
              <w:jc w:val="center"/>
              <w:rPr>
                <w:rFonts w:ascii="Arial" w:hAnsi="Arial" w:cs="Arial"/>
                <w:color w:val="010205"/>
              </w:rPr>
            </w:pPr>
            <w:r w:rsidRPr="00FA1638">
              <w:rPr>
                <w:rFonts w:ascii="Arial" w:hAnsi="Arial" w:cs="Arial"/>
                <w:b/>
                <w:bCs/>
                <w:color w:val="010205"/>
              </w:rPr>
              <w:t>Tests of Normality</w:t>
            </w:r>
          </w:p>
        </w:tc>
      </w:tr>
      <w:tr w:rsidR="00FA1638" w:rsidRPr="00FA1638">
        <w:trPr>
          <w:cantSplit/>
        </w:trPr>
        <w:tc>
          <w:tcPr>
            <w:tcW w:w="2447" w:type="dxa"/>
            <w:vMerge w:val="restart"/>
            <w:tcBorders>
              <w:top w:val="nil"/>
              <w:left w:val="nil"/>
              <w:bottom w:val="nil"/>
              <w:right w:val="nil"/>
            </w:tcBorders>
            <w:shd w:val="clear" w:color="auto" w:fill="FFFFFF"/>
            <w:vAlign w:val="bottom"/>
          </w:tcPr>
          <w:p w:rsidR="00FA1638" w:rsidRPr="00FA1638" w:rsidRDefault="00FA1638" w:rsidP="00952623">
            <w:pPr>
              <w:autoSpaceDE w:val="0"/>
              <w:autoSpaceDN w:val="0"/>
              <w:adjustRightInd w:val="0"/>
              <w:spacing w:after="0" w:line="480" w:lineRule="auto"/>
              <w:rPr>
                <w:rFonts w:ascii="Times New Roman" w:hAnsi="Times New Roman" w:cs="Times New Roman"/>
                <w:sz w:val="24"/>
                <w:szCs w:val="24"/>
              </w:rPr>
            </w:pPr>
          </w:p>
        </w:tc>
        <w:tc>
          <w:tcPr>
            <w:tcW w:w="3072" w:type="dxa"/>
            <w:gridSpan w:val="3"/>
            <w:tcBorders>
              <w:top w:val="nil"/>
              <w:left w:val="nil"/>
              <w:bottom w:val="nil"/>
              <w:right w:val="nil"/>
            </w:tcBorders>
            <w:shd w:val="clear" w:color="auto" w:fill="FFFFFF"/>
            <w:vAlign w:val="bottom"/>
          </w:tcPr>
          <w:p w:rsidR="00FA1638" w:rsidRPr="00FA1638" w:rsidRDefault="00FA1638" w:rsidP="00952623">
            <w:pPr>
              <w:autoSpaceDE w:val="0"/>
              <w:autoSpaceDN w:val="0"/>
              <w:adjustRightInd w:val="0"/>
              <w:spacing w:after="0" w:line="480" w:lineRule="auto"/>
              <w:ind w:left="60" w:right="60"/>
              <w:jc w:val="center"/>
              <w:rPr>
                <w:rFonts w:ascii="Arial" w:hAnsi="Arial" w:cs="Arial"/>
                <w:color w:val="264A60"/>
                <w:sz w:val="18"/>
                <w:szCs w:val="18"/>
              </w:rPr>
            </w:pPr>
            <w:r w:rsidRPr="00FA1638">
              <w:rPr>
                <w:rFonts w:ascii="Arial" w:hAnsi="Arial" w:cs="Arial"/>
                <w:color w:val="264A60"/>
                <w:sz w:val="18"/>
                <w:szCs w:val="18"/>
              </w:rPr>
              <w:t>Kolmogorov-Smirnov</w:t>
            </w:r>
            <w:r w:rsidRPr="00FA1638">
              <w:rPr>
                <w:rFonts w:ascii="Arial" w:hAnsi="Arial" w:cs="Arial"/>
                <w:color w:val="264A60"/>
                <w:sz w:val="18"/>
                <w:szCs w:val="18"/>
                <w:vertAlign w:val="superscript"/>
              </w:rPr>
              <w:t>a</w:t>
            </w:r>
          </w:p>
        </w:tc>
      </w:tr>
      <w:tr w:rsidR="00FA1638" w:rsidRPr="00FA1638">
        <w:trPr>
          <w:cantSplit/>
        </w:trPr>
        <w:tc>
          <w:tcPr>
            <w:tcW w:w="2447" w:type="dxa"/>
            <w:vMerge/>
            <w:tcBorders>
              <w:top w:val="nil"/>
              <w:left w:val="nil"/>
              <w:bottom w:val="nil"/>
              <w:right w:val="nil"/>
            </w:tcBorders>
            <w:shd w:val="clear" w:color="auto" w:fill="FFFFFF"/>
            <w:vAlign w:val="bottom"/>
          </w:tcPr>
          <w:p w:rsidR="00FA1638" w:rsidRPr="00FA1638" w:rsidRDefault="00FA1638" w:rsidP="00952623">
            <w:pPr>
              <w:autoSpaceDE w:val="0"/>
              <w:autoSpaceDN w:val="0"/>
              <w:adjustRightInd w:val="0"/>
              <w:spacing w:after="0" w:line="480" w:lineRule="auto"/>
              <w:rPr>
                <w:rFonts w:ascii="Arial" w:hAnsi="Arial" w:cs="Arial"/>
                <w:color w:val="264A60"/>
                <w:sz w:val="18"/>
                <w:szCs w:val="18"/>
              </w:rPr>
            </w:pPr>
          </w:p>
        </w:tc>
        <w:tc>
          <w:tcPr>
            <w:tcW w:w="1024" w:type="dxa"/>
            <w:tcBorders>
              <w:top w:val="nil"/>
              <w:left w:val="nil"/>
              <w:bottom w:val="single" w:sz="8" w:space="0" w:color="152935"/>
              <w:right w:val="single" w:sz="8" w:space="0" w:color="E0E0E0"/>
            </w:tcBorders>
            <w:shd w:val="clear" w:color="auto" w:fill="FFFFFF"/>
            <w:vAlign w:val="bottom"/>
          </w:tcPr>
          <w:p w:rsidR="00FA1638" w:rsidRPr="00FA1638" w:rsidRDefault="00FA1638" w:rsidP="00952623">
            <w:pPr>
              <w:autoSpaceDE w:val="0"/>
              <w:autoSpaceDN w:val="0"/>
              <w:adjustRightInd w:val="0"/>
              <w:spacing w:after="0" w:line="480" w:lineRule="auto"/>
              <w:ind w:left="60" w:right="60"/>
              <w:jc w:val="center"/>
              <w:rPr>
                <w:rFonts w:ascii="Arial" w:hAnsi="Arial" w:cs="Arial"/>
                <w:color w:val="264A60"/>
                <w:sz w:val="18"/>
                <w:szCs w:val="18"/>
              </w:rPr>
            </w:pPr>
            <w:r w:rsidRPr="00FA1638">
              <w:rPr>
                <w:rFonts w:ascii="Arial" w:hAnsi="Arial" w:cs="Arial"/>
                <w:color w:val="264A60"/>
                <w:sz w:val="18"/>
                <w:szCs w:val="18"/>
              </w:rPr>
              <w:t>Statistic</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FA1638" w:rsidRPr="00FA1638" w:rsidRDefault="00FA1638" w:rsidP="00952623">
            <w:pPr>
              <w:autoSpaceDE w:val="0"/>
              <w:autoSpaceDN w:val="0"/>
              <w:adjustRightInd w:val="0"/>
              <w:spacing w:after="0" w:line="480" w:lineRule="auto"/>
              <w:ind w:left="60" w:right="60"/>
              <w:jc w:val="center"/>
              <w:rPr>
                <w:rFonts w:ascii="Arial" w:hAnsi="Arial" w:cs="Arial"/>
                <w:color w:val="264A60"/>
                <w:sz w:val="18"/>
                <w:szCs w:val="18"/>
              </w:rPr>
            </w:pPr>
            <w:r w:rsidRPr="00FA1638">
              <w:rPr>
                <w:rFonts w:ascii="Arial" w:hAnsi="Arial" w:cs="Arial"/>
                <w:color w:val="264A60"/>
                <w:sz w:val="18"/>
                <w:szCs w:val="18"/>
              </w:rPr>
              <w:t>df</w:t>
            </w:r>
          </w:p>
        </w:tc>
        <w:tc>
          <w:tcPr>
            <w:tcW w:w="1024" w:type="dxa"/>
            <w:tcBorders>
              <w:top w:val="nil"/>
              <w:left w:val="single" w:sz="8" w:space="0" w:color="E0E0E0"/>
              <w:bottom w:val="single" w:sz="8" w:space="0" w:color="152935"/>
              <w:right w:val="nil"/>
            </w:tcBorders>
            <w:shd w:val="clear" w:color="auto" w:fill="FFFFFF"/>
            <w:vAlign w:val="bottom"/>
          </w:tcPr>
          <w:p w:rsidR="00FA1638" w:rsidRPr="00FA1638" w:rsidRDefault="00FA1638" w:rsidP="00952623">
            <w:pPr>
              <w:autoSpaceDE w:val="0"/>
              <w:autoSpaceDN w:val="0"/>
              <w:adjustRightInd w:val="0"/>
              <w:spacing w:after="0" w:line="480" w:lineRule="auto"/>
              <w:ind w:left="60" w:right="60"/>
              <w:jc w:val="center"/>
              <w:rPr>
                <w:rFonts w:ascii="Arial" w:hAnsi="Arial" w:cs="Arial"/>
                <w:color w:val="264A60"/>
                <w:sz w:val="18"/>
                <w:szCs w:val="18"/>
              </w:rPr>
            </w:pPr>
            <w:r w:rsidRPr="00FA1638">
              <w:rPr>
                <w:rFonts w:ascii="Arial" w:hAnsi="Arial" w:cs="Arial"/>
                <w:color w:val="264A60"/>
                <w:sz w:val="18"/>
                <w:szCs w:val="18"/>
              </w:rPr>
              <w:t>Sig.</w:t>
            </w:r>
          </w:p>
        </w:tc>
      </w:tr>
      <w:tr w:rsidR="00FA1638" w:rsidRPr="00FA1638">
        <w:trPr>
          <w:cantSplit/>
        </w:trPr>
        <w:tc>
          <w:tcPr>
            <w:tcW w:w="2447" w:type="dxa"/>
            <w:tcBorders>
              <w:top w:val="single" w:sz="8" w:space="0" w:color="152935"/>
              <w:left w:val="nil"/>
              <w:bottom w:val="single" w:sz="8" w:space="0" w:color="AEAEAE"/>
              <w:right w:val="nil"/>
            </w:tcBorders>
            <w:shd w:val="clear" w:color="auto" w:fill="E0E0E0"/>
          </w:tcPr>
          <w:p w:rsidR="00FA1638" w:rsidRPr="00FA1638" w:rsidRDefault="00FA1638" w:rsidP="00952623">
            <w:pPr>
              <w:autoSpaceDE w:val="0"/>
              <w:autoSpaceDN w:val="0"/>
              <w:adjustRightInd w:val="0"/>
              <w:spacing w:after="0" w:line="480" w:lineRule="auto"/>
              <w:ind w:left="60" w:right="60"/>
              <w:rPr>
                <w:rFonts w:ascii="Arial" w:hAnsi="Arial" w:cs="Arial"/>
                <w:color w:val="264A60"/>
                <w:sz w:val="18"/>
                <w:szCs w:val="18"/>
              </w:rPr>
            </w:pPr>
            <w:r w:rsidRPr="00FA1638">
              <w:rPr>
                <w:rFonts w:ascii="Arial" w:hAnsi="Arial" w:cs="Arial"/>
                <w:color w:val="264A60"/>
                <w:sz w:val="18"/>
                <w:szCs w:val="18"/>
              </w:rPr>
              <w:t>NUMBER OF DAYS MENTAL HEALTH NOT GOOD</w:t>
            </w:r>
          </w:p>
        </w:tc>
        <w:tc>
          <w:tcPr>
            <w:tcW w:w="1024" w:type="dxa"/>
            <w:tcBorders>
              <w:top w:val="single" w:sz="8" w:space="0" w:color="152935"/>
              <w:left w:val="nil"/>
              <w:bottom w:val="single" w:sz="8" w:space="0" w:color="AEAEAE"/>
              <w:right w:val="single" w:sz="8" w:space="0" w:color="E0E0E0"/>
            </w:tcBorders>
            <w:shd w:val="clear" w:color="auto" w:fill="FFFFFF"/>
          </w:tcPr>
          <w:p w:rsidR="00FA1638" w:rsidRPr="00FA1638" w:rsidRDefault="00FA1638" w:rsidP="00952623">
            <w:pPr>
              <w:autoSpaceDE w:val="0"/>
              <w:autoSpaceDN w:val="0"/>
              <w:adjustRightInd w:val="0"/>
              <w:spacing w:after="0" w:line="480" w:lineRule="auto"/>
              <w:ind w:left="60" w:right="60"/>
              <w:jc w:val="right"/>
              <w:rPr>
                <w:rFonts w:ascii="Arial" w:hAnsi="Arial" w:cs="Arial"/>
                <w:color w:val="010205"/>
                <w:sz w:val="18"/>
                <w:szCs w:val="18"/>
              </w:rPr>
            </w:pPr>
            <w:r w:rsidRPr="00FA1638">
              <w:rPr>
                <w:rFonts w:ascii="Arial" w:hAnsi="Arial" w:cs="Arial"/>
                <w:color w:val="010205"/>
                <w:sz w:val="18"/>
                <w:szCs w:val="18"/>
              </w:rPr>
              <w:t>.184</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FA1638" w:rsidRPr="00FA1638" w:rsidRDefault="00FA1638" w:rsidP="00952623">
            <w:pPr>
              <w:autoSpaceDE w:val="0"/>
              <w:autoSpaceDN w:val="0"/>
              <w:adjustRightInd w:val="0"/>
              <w:spacing w:after="0" w:line="480" w:lineRule="auto"/>
              <w:ind w:left="60" w:right="60"/>
              <w:jc w:val="right"/>
              <w:rPr>
                <w:rFonts w:ascii="Arial" w:hAnsi="Arial" w:cs="Arial"/>
                <w:color w:val="010205"/>
                <w:sz w:val="18"/>
                <w:szCs w:val="18"/>
              </w:rPr>
            </w:pPr>
            <w:r w:rsidRPr="00FA1638">
              <w:rPr>
                <w:rFonts w:ascii="Arial" w:hAnsi="Arial" w:cs="Arial"/>
                <w:color w:val="010205"/>
                <w:sz w:val="18"/>
                <w:szCs w:val="18"/>
              </w:rPr>
              <w:t>79668</w:t>
            </w:r>
          </w:p>
        </w:tc>
        <w:tc>
          <w:tcPr>
            <w:tcW w:w="1024" w:type="dxa"/>
            <w:tcBorders>
              <w:top w:val="single" w:sz="8" w:space="0" w:color="152935"/>
              <w:left w:val="single" w:sz="8" w:space="0" w:color="E0E0E0"/>
              <w:bottom w:val="single" w:sz="8" w:space="0" w:color="AEAEAE"/>
              <w:right w:val="nil"/>
            </w:tcBorders>
            <w:shd w:val="clear" w:color="auto" w:fill="FFFFFF"/>
          </w:tcPr>
          <w:p w:rsidR="00FA1638" w:rsidRPr="00FA1638" w:rsidRDefault="00FA1638" w:rsidP="00952623">
            <w:pPr>
              <w:autoSpaceDE w:val="0"/>
              <w:autoSpaceDN w:val="0"/>
              <w:adjustRightInd w:val="0"/>
              <w:spacing w:after="0" w:line="480" w:lineRule="auto"/>
              <w:ind w:left="60" w:right="60"/>
              <w:jc w:val="right"/>
              <w:rPr>
                <w:rFonts w:ascii="Arial" w:hAnsi="Arial" w:cs="Arial"/>
                <w:color w:val="010205"/>
                <w:sz w:val="18"/>
                <w:szCs w:val="18"/>
              </w:rPr>
            </w:pPr>
            <w:r w:rsidRPr="00FA1638">
              <w:rPr>
                <w:rFonts w:ascii="Arial" w:hAnsi="Arial" w:cs="Arial"/>
                <w:color w:val="010205"/>
                <w:sz w:val="18"/>
                <w:szCs w:val="18"/>
              </w:rPr>
              <w:t>.000</w:t>
            </w:r>
          </w:p>
        </w:tc>
      </w:tr>
      <w:tr w:rsidR="00FA1638" w:rsidRPr="00FA1638">
        <w:trPr>
          <w:cantSplit/>
        </w:trPr>
        <w:tc>
          <w:tcPr>
            <w:tcW w:w="2447" w:type="dxa"/>
            <w:tcBorders>
              <w:top w:val="single" w:sz="8" w:space="0" w:color="AEAEAE"/>
              <w:left w:val="nil"/>
              <w:bottom w:val="single" w:sz="8" w:space="0" w:color="152935"/>
              <w:right w:val="nil"/>
            </w:tcBorders>
            <w:shd w:val="clear" w:color="auto" w:fill="E0E0E0"/>
          </w:tcPr>
          <w:p w:rsidR="00FA1638" w:rsidRPr="00FA1638" w:rsidRDefault="00FA1638" w:rsidP="00952623">
            <w:pPr>
              <w:autoSpaceDE w:val="0"/>
              <w:autoSpaceDN w:val="0"/>
              <w:adjustRightInd w:val="0"/>
              <w:spacing w:after="0" w:line="480" w:lineRule="auto"/>
              <w:ind w:left="60" w:right="60"/>
              <w:rPr>
                <w:rFonts w:ascii="Arial" w:hAnsi="Arial" w:cs="Arial"/>
                <w:color w:val="264A60"/>
                <w:sz w:val="18"/>
                <w:szCs w:val="18"/>
              </w:rPr>
            </w:pPr>
            <w:r w:rsidRPr="00FA1638">
              <w:rPr>
                <w:rFonts w:ascii="Arial" w:hAnsi="Arial" w:cs="Arial"/>
                <w:color w:val="264A60"/>
                <w:sz w:val="18"/>
                <w:szCs w:val="18"/>
              </w:rPr>
              <w:t>NUMBER OF DAYS PHYSICAL HEALTH NOT GOOD</w:t>
            </w:r>
          </w:p>
        </w:tc>
        <w:tc>
          <w:tcPr>
            <w:tcW w:w="1024" w:type="dxa"/>
            <w:tcBorders>
              <w:top w:val="single" w:sz="8" w:space="0" w:color="AEAEAE"/>
              <w:left w:val="nil"/>
              <w:bottom w:val="single" w:sz="8" w:space="0" w:color="152935"/>
              <w:right w:val="single" w:sz="8" w:space="0" w:color="E0E0E0"/>
            </w:tcBorders>
            <w:shd w:val="clear" w:color="auto" w:fill="FFFFFF"/>
          </w:tcPr>
          <w:p w:rsidR="00FA1638" w:rsidRPr="00FA1638" w:rsidRDefault="00FA1638" w:rsidP="00952623">
            <w:pPr>
              <w:autoSpaceDE w:val="0"/>
              <w:autoSpaceDN w:val="0"/>
              <w:adjustRightInd w:val="0"/>
              <w:spacing w:after="0" w:line="480" w:lineRule="auto"/>
              <w:ind w:left="60" w:right="60"/>
              <w:jc w:val="right"/>
              <w:rPr>
                <w:rFonts w:ascii="Arial" w:hAnsi="Arial" w:cs="Arial"/>
                <w:color w:val="010205"/>
                <w:sz w:val="18"/>
                <w:szCs w:val="18"/>
              </w:rPr>
            </w:pPr>
            <w:r w:rsidRPr="00FA1638">
              <w:rPr>
                <w:rFonts w:ascii="Arial" w:hAnsi="Arial" w:cs="Arial"/>
                <w:color w:val="010205"/>
                <w:sz w:val="18"/>
                <w:szCs w:val="18"/>
              </w:rPr>
              <w:t>.198</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FA1638" w:rsidRPr="00FA1638" w:rsidRDefault="00FA1638" w:rsidP="00952623">
            <w:pPr>
              <w:autoSpaceDE w:val="0"/>
              <w:autoSpaceDN w:val="0"/>
              <w:adjustRightInd w:val="0"/>
              <w:spacing w:after="0" w:line="480" w:lineRule="auto"/>
              <w:ind w:left="60" w:right="60"/>
              <w:jc w:val="right"/>
              <w:rPr>
                <w:rFonts w:ascii="Arial" w:hAnsi="Arial" w:cs="Arial"/>
                <w:color w:val="010205"/>
                <w:sz w:val="18"/>
                <w:szCs w:val="18"/>
              </w:rPr>
            </w:pPr>
            <w:r w:rsidRPr="00FA1638">
              <w:rPr>
                <w:rFonts w:ascii="Arial" w:hAnsi="Arial" w:cs="Arial"/>
                <w:color w:val="010205"/>
                <w:sz w:val="18"/>
                <w:szCs w:val="18"/>
              </w:rPr>
              <w:t>79668</w:t>
            </w:r>
          </w:p>
        </w:tc>
        <w:tc>
          <w:tcPr>
            <w:tcW w:w="1024" w:type="dxa"/>
            <w:tcBorders>
              <w:top w:val="single" w:sz="8" w:space="0" w:color="AEAEAE"/>
              <w:left w:val="single" w:sz="8" w:space="0" w:color="E0E0E0"/>
              <w:bottom w:val="single" w:sz="8" w:space="0" w:color="152935"/>
              <w:right w:val="nil"/>
            </w:tcBorders>
            <w:shd w:val="clear" w:color="auto" w:fill="FFFFFF"/>
          </w:tcPr>
          <w:p w:rsidR="00FA1638" w:rsidRPr="00FA1638" w:rsidRDefault="00FA1638" w:rsidP="00952623">
            <w:pPr>
              <w:autoSpaceDE w:val="0"/>
              <w:autoSpaceDN w:val="0"/>
              <w:adjustRightInd w:val="0"/>
              <w:spacing w:after="0" w:line="480" w:lineRule="auto"/>
              <w:ind w:left="60" w:right="60"/>
              <w:jc w:val="right"/>
              <w:rPr>
                <w:rFonts w:ascii="Arial" w:hAnsi="Arial" w:cs="Arial"/>
                <w:color w:val="010205"/>
                <w:sz w:val="18"/>
                <w:szCs w:val="18"/>
              </w:rPr>
            </w:pPr>
            <w:r w:rsidRPr="00FA1638">
              <w:rPr>
                <w:rFonts w:ascii="Arial" w:hAnsi="Arial" w:cs="Arial"/>
                <w:color w:val="010205"/>
                <w:sz w:val="18"/>
                <w:szCs w:val="18"/>
              </w:rPr>
              <w:t>.000</w:t>
            </w:r>
          </w:p>
        </w:tc>
      </w:tr>
      <w:tr w:rsidR="00FA1638" w:rsidRPr="00FA1638">
        <w:trPr>
          <w:cantSplit/>
        </w:trPr>
        <w:tc>
          <w:tcPr>
            <w:tcW w:w="5519" w:type="dxa"/>
            <w:gridSpan w:val="4"/>
            <w:tcBorders>
              <w:top w:val="nil"/>
              <w:left w:val="nil"/>
              <w:bottom w:val="nil"/>
              <w:right w:val="nil"/>
            </w:tcBorders>
            <w:shd w:val="clear" w:color="auto" w:fill="FFFFFF"/>
          </w:tcPr>
          <w:p w:rsidR="00FA1638" w:rsidRPr="00FA1638" w:rsidRDefault="00FA1638" w:rsidP="00952623">
            <w:pPr>
              <w:autoSpaceDE w:val="0"/>
              <w:autoSpaceDN w:val="0"/>
              <w:adjustRightInd w:val="0"/>
              <w:spacing w:after="0" w:line="480" w:lineRule="auto"/>
              <w:ind w:left="60" w:right="60"/>
              <w:rPr>
                <w:rFonts w:ascii="Arial" w:hAnsi="Arial" w:cs="Arial"/>
                <w:color w:val="010205"/>
                <w:sz w:val="18"/>
                <w:szCs w:val="18"/>
              </w:rPr>
            </w:pPr>
            <w:r w:rsidRPr="00FA1638">
              <w:rPr>
                <w:rFonts w:ascii="Arial" w:hAnsi="Arial" w:cs="Arial"/>
                <w:color w:val="010205"/>
                <w:sz w:val="18"/>
                <w:szCs w:val="18"/>
              </w:rPr>
              <w:t>a. Lilliefors Significance Correction</w:t>
            </w:r>
          </w:p>
        </w:tc>
      </w:tr>
    </w:tbl>
    <w:p w:rsidR="00FA1638" w:rsidRPr="00FA1638" w:rsidRDefault="00FA1638" w:rsidP="00952623">
      <w:pPr>
        <w:autoSpaceDE w:val="0"/>
        <w:autoSpaceDN w:val="0"/>
        <w:adjustRightInd w:val="0"/>
        <w:spacing w:after="0" w:line="480" w:lineRule="auto"/>
        <w:rPr>
          <w:rFonts w:ascii="Times New Roman" w:hAnsi="Times New Roman" w:cs="Times New Roman"/>
          <w:sz w:val="24"/>
          <w:szCs w:val="24"/>
        </w:rPr>
      </w:pPr>
    </w:p>
    <w:p w:rsidR="00FA1638" w:rsidRDefault="00072708" w:rsidP="00952623">
      <w:pPr>
        <w:spacing w:line="480" w:lineRule="auto"/>
        <w:rPr>
          <w:b/>
        </w:rPr>
      </w:pPr>
      <w:r>
        <w:rPr>
          <w:b/>
        </w:rPr>
        <w:t>Table 4 ANOVA and Model Summary for SLR</w:t>
      </w:r>
    </w:p>
    <w:p w:rsidR="00072708" w:rsidRPr="00072708" w:rsidRDefault="00072708" w:rsidP="00952623">
      <w:pPr>
        <w:autoSpaceDE w:val="0"/>
        <w:autoSpaceDN w:val="0"/>
        <w:adjustRightInd w:val="0"/>
        <w:spacing w:after="0" w:line="480" w:lineRule="auto"/>
        <w:rPr>
          <w:rFonts w:ascii="Times New Roman" w:hAnsi="Times New Roman" w:cs="Times New Roman"/>
          <w:sz w:val="24"/>
          <w:szCs w:val="24"/>
        </w:rPr>
      </w:pPr>
    </w:p>
    <w:tbl>
      <w:tblPr>
        <w:tblW w:w="731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95"/>
        <w:gridCol w:w="1024"/>
        <w:gridCol w:w="1086"/>
        <w:gridCol w:w="1469"/>
        <w:gridCol w:w="1469"/>
        <w:gridCol w:w="1469"/>
      </w:tblGrid>
      <w:tr w:rsidR="00072708" w:rsidRPr="00072708">
        <w:trPr>
          <w:cantSplit/>
        </w:trPr>
        <w:tc>
          <w:tcPr>
            <w:tcW w:w="7309" w:type="dxa"/>
            <w:gridSpan w:val="6"/>
            <w:tcBorders>
              <w:top w:val="nil"/>
              <w:left w:val="nil"/>
              <w:bottom w:val="nil"/>
              <w:right w:val="nil"/>
            </w:tcBorders>
            <w:shd w:val="clear" w:color="auto" w:fill="FFFFFF"/>
            <w:vAlign w:val="center"/>
          </w:tcPr>
          <w:p w:rsidR="00072708" w:rsidRPr="00072708" w:rsidRDefault="00072708" w:rsidP="00952623">
            <w:pPr>
              <w:autoSpaceDE w:val="0"/>
              <w:autoSpaceDN w:val="0"/>
              <w:adjustRightInd w:val="0"/>
              <w:spacing w:after="0" w:line="480" w:lineRule="auto"/>
              <w:ind w:left="60" w:right="60"/>
              <w:jc w:val="center"/>
              <w:rPr>
                <w:rFonts w:ascii="Arial" w:hAnsi="Arial" w:cs="Arial"/>
                <w:color w:val="010205"/>
              </w:rPr>
            </w:pPr>
            <w:r w:rsidRPr="00072708">
              <w:rPr>
                <w:rFonts w:ascii="Arial" w:hAnsi="Arial" w:cs="Arial"/>
                <w:b/>
                <w:bCs/>
                <w:color w:val="010205"/>
              </w:rPr>
              <w:t>Model Summary</w:t>
            </w:r>
            <w:r w:rsidRPr="00072708">
              <w:rPr>
                <w:rFonts w:ascii="Arial" w:hAnsi="Arial" w:cs="Arial"/>
                <w:b/>
                <w:bCs/>
                <w:color w:val="010205"/>
                <w:vertAlign w:val="superscript"/>
              </w:rPr>
              <w:t>b</w:t>
            </w:r>
          </w:p>
        </w:tc>
      </w:tr>
      <w:tr w:rsidR="00072708" w:rsidRPr="00072708">
        <w:trPr>
          <w:cantSplit/>
        </w:trPr>
        <w:tc>
          <w:tcPr>
            <w:tcW w:w="795" w:type="dxa"/>
            <w:tcBorders>
              <w:top w:val="nil"/>
              <w:left w:val="nil"/>
              <w:bottom w:val="single" w:sz="8" w:space="0" w:color="152935"/>
              <w:right w:val="nil"/>
            </w:tcBorders>
            <w:shd w:val="clear" w:color="auto" w:fill="FFFFFF"/>
            <w:vAlign w:val="bottom"/>
          </w:tcPr>
          <w:p w:rsidR="00072708" w:rsidRPr="00072708" w:rsidRDefault="00072708" w:rsidP="00952623">
            <w:pPr>
              <w:autoSpaceDE w:val="0"/>
              <w:autoSpaceDN w:val="0"/>
              <w:adjustRightInd w:val="0"/>
              <w:spacing w:after="0" w:line="480" w:lineRule="auto"/>
              <w:ind w:left="60" w:right="60"/>
              <w:rPr>
                <w:rFonts w:ascii="Arial" w:hAnsi="Arial" w:cs="Arial"/>
                <w:color w:val="264A60"/>
                <w:sz w:val="18"/>
                <w:szCs w:val="18"/>
              </w:rPr>
            </w:pPr>
            <w:r w:rsidRPr="00072708">
              <w:rPr>
                <w:rFonts w:ascii="Arial" w:hAnsi="Arial" w:cs="Arial"/>
                <w:color w:val="264A60"/>
                <w:sz w:val="18"/>
                <w:szCs w:val="18"/>
              </w:rPr>
              <w:t>Model</w:t>
            </w:r>
          </w:p>
        </w:tc>
        <w:tc>
          <w:tcPr>
            <w:tcW w:w="1024" w:type="dxa"/>
            <w:tcBorders>
              <w:top w:val="nil"/>
              <w:left w:val="nil"/>
              <w:bottom w:val="single" w:sz="8" w:space="0" w:color="152935"/>
              <w:right w:val="single" w:sz="8" w:space="0" w:color="E0E0E0"/>
            </w:tcBorders>
            <w:shd w:val="clear" w:color="auto" w:fill="FFFFFF"/>
            <w:vAlign w:val="bottom"/>
          </w:tcPr>
          <w:p w:rsidR="00072708" w:rsidRPr="00072708" w:rsidRDefault="00072708" w:rsidP="00952623">
            <w:pPr>
              <w:autoSpaceDE w:val="0"/>
              <w:autoSpaceDN w:val="0"/>
              <w:adjustRightInd w:val="0"/>
              <w:spacing w:after="0" w:line="480" w:lineRule="auto"/>
              <w:ind w:left="60" w:right="60"/>
              <w:jc w:val="center"/>
              <w:rPr>
                <w:rFonts w:ascii="Arial" w:hAnsi="Arial" w:cs="Arial"/>
                <w:color w:val="264A60"/>
                <w:sz w:val="18"/>
                <w:szCs w:val="18"/>
              </w:rPr>
            </w:pPr>
            <w:r w:rsidRPr="00072708">
              <w:rPr>
                <w:rFonts w:ascii="Arial" w:hAnsi="Arial" w:cs="Arial"/>
                <w:color w:val="264A60"/>
                <w:sz w:val="18"/>
                <w:szCs w:val="18"/>
              </w:rPr>
              <w:t>R</w:t>
            </w:r>
          </w:p>
        </w:tc>
        <w:tc>
          <w:tcPr>
            <w:tcW w:w="1086" w:type="dxa"/>
            <w:tcBorders>
              <w:top w:val="nil"/>
              <w:left w:val="single" w:sz="8" w:space="0" w:color="E0E0E0"/>
              <w:bottom w:val="single" w:sz="8" w:space="0" w:color="152935"/>
              <w:right w:val="single" w:sz="8" w:space="0" w:color="E0E0E0"/>
            </w:tcBorders>
            <w:shd w:val="clear" w:color="auto" w:fill="FFFFFF"/>
            <w:vAlign w:val="bottom"/>
          </w:tcPr>
          <w:p w:rsidR="00072708" w:rsidRPr="00072708" w:rsidRDefault="00072708" w:rsidP="00952623">
            <w:pPr>
              <w:autoSpaceDE w:val="0"/>
              <w:autoSpaceDN w:val="0"/>
              <w:adjustRightInd w:val="0"/>
              <w:spacing w:after="0" w:line="480" w:lineRule="auto"/>
              <w:ind w:left="60" w:right="60"/>
              <w:jc w:val="center"/>
              <w:rPr>
                <w:rFonts w:ascii="Arial" w:hAnsi="Arial" w:cs="Arial"/>
                <w:color w:val="264A60"/>
                <w:sz w:val="18"/>
                <w:szCs w:val="18"/>
              </w:rPr>
            </w:pPr>
            <w:r w:rsidRPr="00072708">
              <w:rPr>
                <w:rFonts w:ascii="Arial" w:hAnsi="Arial" w:cs="Arial"/>
                <w:color w:val="264A60"/>
                <w:sz w:val="18"/>
                <w:szCs w:val="18"/>
              </w:rPr>
              <w:t>R Square</w:t>
            </w:r>
          </w:p>
        </w:tc>
        <w:tc>
          <w:tcPr>
            <w:tcW w:w="1468" w:type="dxa"/>
            <w:tcBorders>
              <w:top w:val="nil"/>
              <w:left w:val="single" w:sz="8" w:space="0" w:color="E0E0E0"/>
              <w:bottom w:val="single" w:sz="8" w:space="0" w:color="152935"/>
              <w:right w:val="single" w:sz="8" w:space="0" w:color="E0E0E0"/>
            </w:tcBorders>
            <w:shd w:val="clear" w:color="auto" w:fill="FFFFFF"/>
            <w:vAlign w:val="bottom"/>
          </w:tcPr>
          <w:p w:rsidR="00072708" w:rsidRPr="00072708" w:rsidRDefault="00072708" w:rsidP="00952623">
            <w:pPr>
              <w:autoSpaceDE w:val="0"/>
              <w:autoSpaceDN w:val="0"/>
              <w:adjustRightInd w:val="0"/>
              <w:spacing w:after="0" w:line="480" w:lineRule="auto"/>
              <w:ind w:left="60" w:right="60"/>
              <w:jc w:val="center"/>
              <w:rPr>
                <w:rFonts w:ascii="Arial" w:hAnsi="Arial" w:cs="Arial"/>
                <w:color w:val="264A60"/>
                <w:sz w:val="18"/>
                <w:szCs w:val="18"/>
              </w:rPr>
            </w:pPr>
            <w:r w:rsidRPr="00072708">
              <w:rPr>
                <w:rFonts w:ascii="Arial" w:hAnsi="Arial" w:cs="Arial"/>
                <w:color w:val="264A60"/>
                <w:sz w:val="18"/>
                <w:szCs w:val="18"/>
              </w:rPr>
              <w:t>Adjusted R Square</w:t>
            </w:r>
          </w:p>
        </w:tc>
        <w:tc>
          <w:tcPr>
            <w:tcW w:w="1468" w:type="dxa"/>
            <w:tcBorders>
              <w:top w:val="nil"/>
              <w:left w:val="single" w:sz="8" w:space="0" w:color="E0E0E0"/>
              <w:bottom w:val="single" w:sz="8" w:space="0" w:color="152935"/>
              <w:right w:val="single" w:sz="8" w:space="0" w:color="E0E0E0"/>
            </w:tcBorders>
            <w:shd w:val="clear" w:color="auto" w:fill="FFFFFF"/>
            <w:vAlign w:val="bottom"/>
          </w:tcPr>
          <w:p w:rsidR="00072708" w:rsidRPr="00072708" w:rsidRDefault="00072708" w:rsidP="00952623">
            <w:pPr>
              <w:autoSpaceDE w:val="0"/>
              <w:autoSpaceDN w:val="0"/>
              <w:adjustRightInd w:val="0"/>
              <w:spacing w:after="0" w:line="480" w:lineRule="auto"/>
              <w:ind w:left="60" w:right="60"/>
              <w:jc w:val="center"/>
              <w:rPr>
                <w:rFonts w:ascii="Arial" w:hAnsi="Arial" w:cs="Arial"/>
                <w:color w:val="264A60"/>
                <w:sz w:val="18"/>
                <w:szCs w:val="18"/>
              </w:rPr>
            </w:pPr>
            <w:r w:rsidRPr="00072708">
              <w:rPr>
                <w:rFonts w:ascii="Arial" w:hAnsi="Arial" w:cs="Arial"/>
                <w:color w:val="264A60"/>
                <w:sz w:val="18"/>
                <w:szCs w:val="18"/>
              </w:rPr>
              <w:t>Std. Error of the Estimate</w:t>
            </w:r>
          </w:p>
        </w:tc>
        <w:tc>
          <w:tcPr>
            <w:tcW w:w="1468" w:type="dxa"/>
            <w:tcBorders>
              <w:top w:val="nil"/>
              <w:left w:val="single" w:sz="8" w:space="0" w:color="E0E0E0"/>
              <w:bottom w:val="single" w:sz="8" w:space="0" w:color="152935"/>
              <w:right w:val="nil"/>
            </w:tcBorders>
            <w:shd w:val="clear" w:color="auto" w:fill="FFFFFF"/>
            <w:vAlign w:val="bottom"/>
          </w:tcPr>
          <w:p w:rsidR="00072708" w:rsidRPr="00072708" w:rsidRDefault="00072708" w:rsidP="00952623">
            <w:pPr>
              <w:autoSpaceDE w:val="0"/>
              <w:autoSpaceDN w:val="0"/>
              <w:adjustRightInd w:val="0"/>
              <w:spacing w:after="0" w:line="480" w:lineRule="auto"/>
              <w:ind w:left="60" w:right="60"/>
              <w:jc w:val="center"/>
              <w:rPr>
                <w:rFonts w:ascii="Arial" w:hAnsi="Arial" w:cs="Arial"/>
                <w:color w:val="264A60"/>
                <w:sz w:val="18"/>
                <w:szCs w:val="18"/>
              </w:rPr>
            </w:pPr>
            <w:r w:rsidRPr="00072708">
              <w:rPr>
                <w:rFonts w:ascii="Arial" w:hAnsi="Arial" w:cs="Arial"/>
                <w:color w:val="264A60"/>
                <w:sz w:val="18"/>
                <w:szCs w:val="18"/>
              </w:rPr>
              <w:t>Durbin-Watson</w:t>
            </w:r>
          </w:p>
        </w:tc>
      </w:tr>
      <w:tr w:rsidR="00072708" w:rsidRPr="00072708">
        <w:trPr>
          <w:cantSplit/>
        </w:trPr>
        <w:tc>
          <w:tcPr>
            <w:tcW w:w="795" w:type="dxa"/>
            <w:tcBorders>
              <w:top w:val="single" w:sz="8" w:space="0" w:color="152935"/>
              <w:left w:val="nil"/>
              <w:bottom w:val="single" w:sz="8" w:space="0" w:color="152935"/>
              <w:right w:val="nil"/>
            </w:tcBorders>
            <w:shd w:val="clear" w:color="auto" w:fill="E0E0E0"/>
          </w:tcPr>
          <w:p w:rsidR="00072708" w:rsidRPr="00072708" w:rsidRDefault="00072708" w:rsidP="00952623">
            <w:pPr>
              <w:autoSpaceDE w:val="0"/>
              <w:autoSpaceDN w:val="0"/>
              <w:adjustRightInd w:val="0"/>
              <w:spacing w:after="0" w:line="480" w:lineRule="auto"/>
              <w:ind w:left="60" w:right="60"/>
              <w:rPr>
                <w:rFonts w:ascii="Arial" w:hAnsi="Arial" w:cs="Arial"/>
                <w:color w:val="264A60"/>
                <w:sz w:val="18"/>
                <w:szCs w:val="18"/>
              </w:rPr>
            </w:pPr>
            <w:r w:rsidRPr="00072708">
              <w:rPr>
                <w:rFonts w:ascii="Arial" w:hAnsi="Arial" w:cs="Arial"/>
                <w:color w:val="264A60"/>
                <w:sz w:val="18"/>
                <w:szCs w:val="18"/>
              </w:rPr>
              <w:t>1</w:t>
            </w:r>
          </w:p>
        </w:tc>
        <w:tc>
          <w:tcPr>
            <w:tcW w:w="1024" w:type="dxa"/>
            <w:tcBorders>
              <w:top w:val="single" w:sz="8" w:space="0" w:color="152935"/>
              <w:left w:val="nil"/>
              <w:bottom w:val="single" w:sz="8" w:space="0" w:color="152935"/>
              <w:right w:val="single" w:sz="8" w:space="0" w:color="E0E0E0"/>
            </w:tcBorders>
            <w:shd w:val="clear" w:color="auto" w:fill="FFFFFF"/>
          </w:tcPr>
          <w:p w:rsidR="00072708" w:rsidRPr="00072708" w:rsidRDefault="00072708" w:rsidP="00952623">
            <w:pPr>
              <w:autoSpaceDE w:val="0"/>
              <w:autoSpaceDN w:val="0"/>
              <w:adjustRightInd w:val="0"/>
              <w:spacing w:after="0" w:line="480" w:lineRule="auto"/>
              <w:ind w:left="60" w:right="60"/>
              <w:jc w:val="right"/>
              <w:rPr>
                <w:rFonts w:ascii="Arial" w:hAnsi="Arial" w:cs="Arial"/>
                <w:color w:val="010205"/>
                <w:sz w:val="18"/>
                <w:szCs w:val="18"/>
              </w:rPr>
            </w:pPr>
            <w:r w:rsidRPr="00072708">
              <w:rPr>
                <w:rFonts w:ascii="Arial" w:hAnsi="Arial" w:cs="Arial"/>
                <w:color w:val="010205"/>
                <w:sz w:val="18"/>
                <w:szCs w:val="18"/>
              </w:rPr>
              <w:t>.432</w:t>
            </w:r>
            <w:r w:rsidRPr="00072708">
              <w:rPr>
                <w:rFonts w:ascii="Arial" w:hAnsi="Arial" w:cs="Arial"/>
                <w:color w:val="010205"/>
                <w:sz w:val="18"/>
                <w:szCs w:val="18"/>
                <w:vertAlign w:val="superscript"/>
              </w:rPr>
              <w:t>a</w:t>
            </w:r>
          </w:p>
        </w:tc>
        <w:tc>
          <w:tcPr>
            <w:tcW w:w="1086" w:type="dxa"/>
            <w:tcBorders>
              <w:top w:val="single" w:sz="8" w:space="0" w:color="152935"/>
              <w:left w:val="single" w:sz="8" w:space="0" w:color="E0E0E0"/>
              <w:bottom w:val="single" w:sz="8" w:space="0" w:color="152935"/>
              <w:right w:val="single" w:sz="8" w:space="0" w:color="E0E0E0"/>
            </w:tcBorders>
            <w:shd w:val="clear" w:color="auto" w:fill="FFFFFF"/>
          </w:tcPr>
          <w:p w:rsidR="00072708" w:rsidRPr="00072708" w:rsidRDefault="00072708" w:rsidP="00952623">
            <w:pPr>
              <w:autoSpaceDE w:val="0"/>
              <w:autoSpaceDN w:val="0"/>
              <w:adjustRightInd w:val="0"/>
              <w:spacing w:after="0" w:line="480" w:lineRule="auto"/>
              <w:ind w:left="60" w:right="60"/>
              <w:jc w:val="right"/>
              <w:rPr>
                <w:rFonts w:ascii="Arial" w:hAnsi="Arial" w:cs="Arial"/>
                <w:color w:val="010205"/>
                <w:sz w:val="18"/>
                <w:szCs w:val="18"/>
              </w:rPr>
            </w:pPr>
            <w:r w:rsidRPr="00072708">
              <w:rPr>
                <w:rFonts w:ascii="Arial" w:hAnsi="Arial" w:cs="Arial"/>
                <w:color w:val="010205"/>
                <w:sz w:val="18"/>
                <w:szCs w:val="18"/>
              </w:rPr>
              <w:t>.186</w:t>
            </w:r>
          </w:p>
        </w:tc>
        <w:tc>
          <w:tcPr>
            <w:tcW w:w="1468" w:type="dxa"/>
            <w:tcBorders>
              <w:top w:val="single" w:sz="8" w:space="0" w:color="152935"/>
              <w:left w:val="single" w:sz="8" w:space="0" w:color="E0E0E0"/>
              <w:bottom w:val="single" w:sz="8" w:space="0" w:color="152935"/>
              <w:right w:val="single" w:sz="8" w:space="0" w:color="E0E0E0"/>
            </w:tcBorders>
            <w:shd w:val="clear" w:color="auto" w:fill="FFFFFF"/>
          </w:tcPr>
          <w:p w:rsidR="00072708" w:rsidRPr="00072708" w:rsidRDefault="00072708" w:rsidP="00952623">
            <w:pPr>
              <w:autoSpaceDE w:val="0"/>
              <w:autoSpaceDN w:val="0"/>
              <w:adjustRightInd w:val="0"/>
              <w:spacing w:after="0" w:line="480" w:lineRule="auto"/>
              <w:ind w:left="60" w:right="60"/>
              <w:jc w:val="right"/>
              <w:rPr>
                <w:rFonts w:ascii="Arial" w:hAnsi="Arial" w:cs="Arial"/>
                <w:color w:val="010205"/>
                <w:sz w:val="18"/>
                <w:szCs w:val="18"/>
              </w:rPr>
            </w:pPr>
            <w:r w:rsidRPr="00072708">
              <w:rPr>
                <w:rFonts w:ascii="Arial" w:hAnsi="Arial" w:cs="Arial"/>
                <w:color w:val="010205"/>
                <w:sz w:val="18"/>
                <w:szCs w:val="18"/>
              </w:rPr>
              <w:t>.186</w:t>
            </w:r>
          </w:p>
        </w:tc>
        <w:tc>
          <w:tcPr>
            <w:tcW w:w="1468" w:type="dxa"/>
            <w:tcBorders>
              <w:top w:val="single" w:sz="8" w:space="0" w:color="152935"/>
              <w:left w:val="single" w:sz="8" w:space="0" w:color="E0E0E0"/>
              <w:bottom w:val="single" w:sz="8" w:space="0" w:color="152935"/>
              <w:right w:val="single" w:sz="8" w:space="0" w:color="E0E0E0"/>
            </w:tcBorders>
            <w:shd w:val="clear" w:color="auto" w:fill="FFFFFF"/>
          </w:tcPr>
          <w:p w:rsidR="00072708" w:rsidRPr="00072708" w:rsidRDefault="00072708" w:rsidP="00952623">
            <w:pPr>
              <w:autoSpaceDE w:val="0"/>
              <w:autoSpaceDN w:val="0"/>
              <w:adjustRightInd w:val="0"/>
              <w:spacing w:after="0" w:line="480" w:lineRule="auto"/>
              <w:ind w:left="60" w:right="60"/>
              <w:jc w:val="right"/>
              <w:rPr>
                <w:rFonts w:ascii="Arial" w:hAnsi="Arial" w:cs="Arial"/>
                <w:color w:val="010205"/>
                <w:sz w:val="18"/>
                <w:szCs w:val="18"/>
              </w:rPr>
            </w:pPr>
            <w:r w:rsidRPr="00072708">
              <w:rPr>
                <w:rFonts w:ascii="Arial" w:hAnsi="Arial" w:cs="Arial"/>
                <w:color w:val="010205"/>
                <w:sz w:val="18"/>
                <w:szCs w:val="18"/>
              </w:rPr>
              <w:t>10.190</w:t>
            </w:r>
          </w:p>
        </w:tc>
        <w:tc>
          <w:tcPr>
            <w:tcW w:w="1468" w:type="dxa"/>
            <w:tcBorders>
              <w:top w:val="single" w:sz="8" w:space="0" w:color="152935"/>
              <w:left w:val="single" w:sz="8" w:space="0" w:color="E0E0E0"/>
              <w:bottom w:val="single" w:sz="8" w:space="0" w:color="152935"/>
              <w:right w:val="nil"/>
            </w:tcBorders>
            <w:shd w:val="clear" w:color="auto" w:fill="FFFFFF"/>
          </w:tcPr>
          <w:p w:rsidR="00072708" w:rsidRPr="00072708" w:rsidRDefault="00072708" w:rsidP="00952623">
            <w:pPr>
              <w:autoSpaceDE w:val="0"/>
              <w:autoSpaceDN w:val="0"/>
              <w:adjustRightInd w:val="0"/>
              <w:spacing w:after="0" w:line="480" w:lineRule="auto"/>
              <w:ind w:left="60" w:right="60"/>
              <w:jc w:val="right"/>
              <w:rPr>
                <w:rFonts w:ascii="Arial" w:hAnsi="Arial" w:cs="Arial"/>
                <w:color w:val="010205"/>
                <w:sz w:val="18"/>
                <w:szCs w:val="18"/>
              </w:rPr>
            </w:pPr>
            <w:r w:rsidRPr="00072708">
              <w:rPr>
                <w:rFonts w:ascii="Arial" w:hAnsi="Arial" w:cs="Arial"/>
                <w:color w:val="010205"/>
                <w:sz w:val="18"/>
                <w:szCs w:val="18"/>
              </w:rPr>
              <w:t>1.946</w:t>
            </w:r>
          </w:p>
        </w:tc>
      </w:tr>
      <w:tr w:rsidR="00072708" w:rsidRPr="00072708">
        <w:trPr>
          <w:cantSplit/>
        </w:trPr>
        <w:tc>
          <w:tcPr>
            <w:tcW w:w="7309" w:type="dxa"/>
            <w:gridSpan w:val="6"/>
            <w:tcBorders>
              <w:top w:val="nil"/>
              <w:left w:val="nil"/>
              <w:bottom w:val="nil"/>
              <w:right w:val="nil"/>
            </w:tcBorders>
            <w:shd w:val="clear" w:color="auto" w:fill="FFFFFF"/>
          </w:tcPr>
          <w:p w:rsidR="00072708" w:rsidRPr="00072708" w:rsidRDefault="00072708" w:rsidP="00952623">
            <w:pPr>
              <w:autoSpaceDE w:val="0"/>
              <w:autoSpaceDN w:val="0"/>
              <w:adjustRightInd w:val="0"/>
              <w:spacing w:after="0" w:line="480" w:lineRule="auto"/>
              <w:ind w:left="60" w:right="60"/>
              <w:rPr>
                <w:rFonts w:ascii="Arial" w:hAnsi="Arial" w:cs="Arial"/>
                <w:color w:val="010205"/>
                <w:sz w:val="18"/>
                <w:szCs w:val="18"/>
              </w:rPr>
            </w:pPr>
            <w:r w:rsidRPr="00072708">
              <w:rPr>
                <w:rFonts w:ascii="Arial" w:hAnsi="Arial" w:cs="Arial"/>
                <w:color w:val="010205"/>
                <w:sz w:val="18"/>
                <w:szCs w:val="18"/>
              </w:rPr>
              <w:t>a. Predictors: (Constant), NUMBER OF DAYS MENTAL HEALTH NOT GOOD</w:t>
            </w:r>
          </w:p>
        </w:tc>
      </w:tr>
      <w:tr w:rsidR="00072708" w:rsidRPr="00072708">
        <w:trPr>
          <w:cantSplit/>
        </w:trPr>
        <w:tc>
          <w:tcPr>
            <w:tcW w:w="7309" w:type="dxa"/>
            <w:gridSpan w:val="6"/>
            <w:tcBorders>
              <w:top w:val="nil"/>
              <w:left w:val="nil"/>
              <w:bottom w:val="nil"/>
              <w:right w:val="nil"/>
            </w:tcBorders>
            <w:shd w:val="clear" w:color="auto" w:fill="FFFFFF"/>
          </w:tcPr>
          <w:p w:rsidR="00072708" w:rsidRPr="00072708" w:rsidRDefault="00072708" w:rsidP="00952623">
            <w:pPr>
              <w:autoSpaceDE w:val="0"/>
              <w:autoSpaceDN w:val="0"/>
              <w:adjustRightInd w:val="0"/>
              <w:spacing w:after="0" w:line="480" w:lineRule="auto"/>
              <w:ind w:left="60" w:right="60"/>
              <w:rPr>
                <w:rFonts w:ascii="Arial" w:hAnsi="Arial" w:cs="Arial"/>
                <w:color w:val="010205"/>
                <w:sz w:val="18"/>
                <w:szCs w:val="18"/>
              </w:rPr>
            </w:pPr>
            <w:r w:rsidRPr="00072708">
              <w:rPr>
                <w:rFonts w:ascii="Arial" w:hAnsi="Arial" w:cs="Arial"/>
                <w:color w:val="010205"/>
                <w:sz w:val="18"/>
                <w:szCs w:val="18"/>
              </w:rPr>
              <w:t>b. Dependent Variable: NUMBER OF DAYS PHYSICAL HEALTH NOT GOOD</w:t>
            </w:r>
          </w:p>
        </w:tc>
      </w:tr>
    </w:tbl>
    <w:p w:rsidR="00072708" w:rsidRPr="00072708" w:rsidRDefault="00072708" w:rsidP="00952623">
      <w:pPr>
        <w:autoSpaceDE w:val="0"/>
        <w:autoSpaceDN w:val="0"/>
        <w:adjustRightInd w:val="0"/>
        <w:spacing w:after="0" w:line="480" w:lineRule="auto"/>
        <w:rPr>
          <w:rFonts w:ascii="Times New Roman" w:hAnsi="Times New Roman" w:cs="Times New Roman"/>
          <w:sz w:val="24"/>
          <w:szCs w:val="24"/>
        </w:rPr>
      </w:pPr>
    </w:p>
    <w:p w:rsidR="00072708" w:rsidRPr="00072708" w:rsidRDefault="00072708" w:rsidP="00952623">
      <w:pPr>
        <w:autoSpaceDE w:val="0"/>
        <w:autoSpaceDN w:val="0"/>
        <w:adjustRightInd w:val="0"/>
        <w:spacing w:after="0" w:line="480" w:lineRule="auto"/>
        <w:rPr>
          <w:rFonts w:ascii="Times New Roman" w:hAnsi="Times New Roman" w:cs="Times New Roman"/>
          <w:sz w:val="24"/>
          <w:szCs w:val="24"/>
        </w:rPr>
      </w:pPr>
    </w:p>
    <w:tbl>
      <w:tblPr>
        <w:tblW w:w="8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3"/>
        <w:gridCol w:w="1284"/>
        <w:gridCol w:w="1469"/>
        <w:gridCol w:w="1025"/>
        <w:gridCol w:w="1408"/>
        <w:gridCol w:w="1194"/>
        <w:gridCol w:w="1025"/>
      </w:tblGrid>
      <w:tr w:rsidR="00072708" w:rsidRPr="00072708">
        <w:trPr>
          <w:cantSplit/>
        </w:trPr>
        <w:tc>
          <w:tcPr>
            <w:tcW w:w="8134" w:type="dxa"/>
            <w:gridSpan w:val="7"/>
            <w:tcBorders>
              <w:top w:val="nil"/>
              <w:left w:val="nil"/>
              <w:bottom w:val="nil"/>
              <w:right w:val="nil"/>
            </w:tcBorders>
            <w:shd w:val="clear" w:color="auto" w:fill="FFFFFF"/>
            <w:vAlign w:val="center"/>
          </w:tcPr>
          <w:p w:rsidR="00072708" w:rsidRPr="00072708" w:rsidRDefault="00072708" w:rsidP="00952623">
            <w:pPr>
              <w:autoSpaceDE w:val="0"/>
              <w:autoSpaceDN w:val="0"/>
              <w:adjustRightInd w:val="0"/>
              <w:spacing w:after="0" w:line="480" w:lineRule="auto"/>
              <w:ind w:left="60" w:right="60"/>
              <w:jc w:val="center"/>
              <w:rPr>
                <w:rFonts w:ascii="Arial" w:hAnsi="Arial" w:cs="Arial"/>
                <w:color w:val="010205"/>
              </w:rPr>
            </w:pPr>
            <w:r w:rsidRPr="00072708">
              <w:rPr>
                <w:rFonts w:ascii="Arial" w:hAnsi="Arial" w:cs="Arial"/>
                <w:b/>
                <w:bCs/>
                <w:color w:val="010205"/>
              </w:rPr>
              <w:t>ANOVA</w:t>
            </w:r>
            <w:r w:rsidRPr="00072708">
              <w:rPr>
                <w:rFonts w:ascii="Arial" w:hAnsi="Arial" w:cs="Arial"/>
                <w:b/>
                <w:bCs/>
                <w:color w:val="010205"/>
                <w:vertAlign w:val="superscript"/>
              </w:rPr>
              <w:t>a</w:t>
            </w:r>
          </w:p>
        </w:tc>
      </w:tr>
      <w:tr w:rsidR="00072708" w:rsidRPr="00072708">
        <w:trPr>
          <w:cantSplit/>
        </w:trPr>
        <w:tc>
          <w:tcPr>
            <w:tcW w:w="2018" w:type="dxa"/>
            <w:gridSpan w:val="2"/>
            <w:tcBorders>
              <w:top w:val="nil"/>
              <w:left w:val="nil"/>
              <w:bottom w:val="single" w:sz="8" w:space="0" w:color="152935"/>
              <w:right w:val="nil"/>
            </w:tcBorders>
            <w:shd w:val="clear" w:color="auto" w:fill="FFFFFF"/>
            <w:vAlign w:val="bottom"/>
          </w:tcPr>
          <w:p w:rsidR="00072708" w:rsidRPr="00072708" w:rsidRDefault="00072708" w:rsidP="00952623">
            <w:pPr>
              <w:autoSpaceDE w:val="0"/>
              <w:autoSpaceDN w:val="0"/>
              <w:adjustRightInd w:val="0"/>
              <w:spacing w:after="0" w:line="480" w:lineRule="auto"/>
              <w:ind w:left="60" w:right="60"/>
              <w:rPr>
                <w:rFonts w:ascii="Arial" w:hAnsi="Arial" w:cs="Arial"/>
                <w:color w:val="264A60"/>
                <w:sz w:val="18"/>
                <w:szCs w:val="18"/>
              </w:rPr>
            </w:pPr>
            <w:r w:rsidRPr="00072708">
              <w:rPr>
                <w:rFonts w:ascii="Arial" w:hAnsi="Arial" w:cs="Arial"/>
                <w:color w:val="264A60"/>
                <w:sz w:val="18"/>
                <w:szCs w:val="18"/>
              </w:rPr>
              <w:t>Model</w:t>
            </w:r>
          </w:p>
        </w:tc>
        <w:tc>
          <w:tcPr>
            <w:tcW w:w="1468" w:type="dxa"/>
            <w:tcBorders>
              <w:top w:val="nil"/>
              <w:left w:val="nil"/>
              <w:bottom w:val="single" w:sz="8" w:space="0" w:color="152935"/>
              <w:right w:val="single" w:sz="8" w:space="0" w:color="E0E0E0"/>
            </w:tcBorders>
            <w:shd w:val="clear" w:color="auto" w:fill="FFFFFF"/>
            <w:vAlign w:val="bottom"/>
          </w:tcPr>
          <w:p w:rsidR="00072708" w:rsidRPr="00072708" w:rsidRDefault="00072708" w:rsidP="00952623">
            <w:pPr>
              <w:autoSpaceDE w:val="0"/>
              <w:autoSpaceDN w:val="0"/>
              <w:adjustRightInd w:val="0"/>
              <w:spacing w:after="0" w:line="480" w:lineRule="auto"/>
              <w:ind w:left="60" w:right="60"/>
              <w:jc w:val="center"/>
              <w:rPr>
                <w:rFonts w:ascii="Arial" w:hAnsi="Arial" w:cs="Arial"/>
                <w:color w:val="264A60"/>
                <w:sz w:val="18"/>
                <w:szCs w:val="18"/>
              </w:rPr>
            </w:pPr>
            <w:r w:rsidRPr="00072708">
              <w:rPr>
                <w:rFonts w:ascii="Arial" w:hAnsi="Arial" w:cs="Arial"/>
                <w:color w:val="264A60"/>
                <w:sz w:val="18"/>
                <w:szCs w:val="18"/>
              </w:rPr>
              <w:t>Sum of Squares</w:t>
            </w:r>
          </w:p>
        </w:tc>
        <w:tc>
          <w:tcPr>
            <w:tcW w:w="1024" w:type="dxa"/>
            <w:tcBorders>
              <w:top w:val="nil"/>
              <w:left w:val="single" w:sz="8" w:space="0" w:color="E0E0E0"/>
              <w:bottom w:val="single" w:sz="8" w:space="0" w:color="152935"/>
              <w:right w:val="single" w:sz="8" w:space="0" w:color="E0E0E0"/>
            </w:tcBorders>
            <w:shd w:val="clear" w:color="auto" w:fill="FFFFFF"/>
            <w:vAlign w:val="bottom"/>
          </w:tcPr>
          <w:p w:rsidR="00072708" w:rsidRPr="00072708" w:rsidRDefault="00072708" w:rsidP="00952623">
            <w:pPr>
              <w:autoSpaceDE w:val="0"/>
              <w:autoSpaceDN w:val="0"/>
              <w:adjustRightInd w:val="0"/>
              <w:spacing w:after="0" w:line="480" w:lineRule="auto"/>
              <w:ind w:left="60" w:right="60"/>
              <w:jc w:val="center"/>
              <w:rPr>
                <w:rFonts w:ascii="Arial" w:hAnsi="Arial" w:cs="Arial"/>
                <w:color w:val="264A60"/>
                <w:sz w:val="18"/>
                <w:szCs w:val="18"/>
              </w:rPr>
            </w:pPr>
            <w:r w:rsidRPr="00072708">
              <w:rPr>
                <w:rFonts w:ascii="Arial" w:hAnsi="Arial" w:cs="Arial"/>
                <w:color w:val="264A60"/>
                <w:sz w:val="18"/>
                <w:szCs w:val="18"/>
              </w:rPr>
              <w:t>df</w:t>
            </w:r>
          </w:p>
        </w:tc>
        <w:tc>
          <w:tcPr>
            <w:tcW w:w="1407" w:type="dxa"/>
            <w:tcBorders>
              <w:top w:val="nil"/>
              <w:left w:val="single" w:sz="8" w:space="0" w:color="E0E0E0"/>
              <w:bottom w:val="single" w:sz="8" w:space="0" w:color="152935"/>
              <w:right w:val="single" w:sz="8" w:space="0" w:color="E0E0E0"/>
            </w:tcBorders>
            <w:shd w:val="clear" w:color="auto" w:fill="FFFFFF"/>
            <w:vAlign w:val="bottom"/>
          </w:tcPr>
          <w:p w:rsidR="00072708" w:rsidRPr="00072708" w:rsidRDefault="00072708" w:rsidP="00952623">
            <w:pPr>
              <w:autoSpaceDE w:val="0"/>
              <w:autoSpaceDN w:val="0"/>
              <w:adjustRightInd w:val="0"/>
              <w:spacing w:after="0" w:line="480" w:lineRule="auto"/>
              <w:ind w:left="60" w:right="60"/>
              <w:jc w:val="center"/>
              <w:rPr>
                <w:rFonts w:ascii="Arial" w:hAnsi="Arial" w:cs="Arial"/>
                <w:color w:val="264A60"/>
                <w:sz w:val="18"/>
                <w:szCs w:val="18"/>
              </w:rPr>
            </w:pPr>
            <w:r w:rsidRPr="00072708">
              <w:rPr>
                <w:rFonts w:ascii="Arial" w:hAnsi="Arial" w:cs="Arial"/>
                <w:color w:val="264A60"/>
                <w:sz w:val="18"/>
                <w:szCs w:val="18"/>
              </w:rPr>
              <w:t>Mean Square</w:t>
            </w:r>
          </w:p>
        </w:tc>
        <w:tc>
          <w:tcPr>
            <w:tcW w:w="1193" w:type="dxa"/>
            <w:tcBorders>
              <w:top w:val="nil"/>
              <w:left w:val="single" w:sz="8" w:space="0" w:color="E0E0E0"/>
              <w:bottom w:val="single" w:sz="8" w:space="0" w:color="152935"/>
              <w:right w:val="single" w:sz="8" w:space="0" w:color="E0E0E0"/>
            </w:tcBorders>
            <w:shd w:val="clear" w:color="auto" w:fill="FFFFFF"/>
            <w:vAlign w:val="bottom"/>
          </w:tcPr>
          <w:p w:rsidR="00072708" w:rsidRPr="00072708" w:rsidRDefault="00072708" w:rsidP="00952623">
            <w:pPr>
              <w:autoSpaceDE w:val="0"/>
              <w:autoSpaceDN w:val="0"/>
              <w:adjustRightInd w:val="0"/>
              <w:spacing w:after="0" w:line="480" w:lineRule="auto"/>
              <w:ind w:left="60" w:right="60"/>
              <w:jc w:val="center"/>
              <w:rPr>
                <w:rFonts w:ascii="Arial" w:hAnsi="Arial" w:cs="Arial"/>
                <w:color w:val="264A60"/>
                <w:sz w:val="18"/>
                <w:szCs w:val="18"/>
              </w:rPr>
            </w:pPr>
            <w:r w:rsidRPr="00072708">
              <w:rPr>
                <w:rFonts w:ascii="Arial" w:hAnsi="Arial" w:cs="Arial"/>
                <w:color w:val="264A60"/>
                <w:sz w:val="18"/>
                <w:szCs w:val="18"/>
              </w:rPr>
              <w:t>F</w:t>
            </w:r>
          </w:p>
        </w:tc>
        <w:tc>
          <w:tcPr>
            <w:tcW w:w="1024" w:type="dxa"/>
            <w:tcBorders>
              <w:top w:val="nil"/>
              <w:left w:val="single" w:sz="8" w:space="0" w:color="E0E0E0"/>
              <w:bottom w:val="single" w:sz="8" w:space="0" w:color="152935"/>
              <w:right w:val="nil"/>
            </w:tcBorders>
            <w:shd w:val="clear" w:color="auto" w:fill="FFFFFF"/>
            <w:vAlign w:val="bottom"/>
          </w:tcPr>
          <w:p w:rsidR="00072708" w:rsidRPr="00072708" w:rsidRDefault="00072708" w:rsidP="00952623">
            <w:pPr>
              <w:autoSpaceDE w:val="0"/>
              <w:autoSpaceDN w:val="0"/>
              <w:adjustRightInd w:val="0"/>
              <w:spacing w:after="0" w:line="480" w:lineRule="auto"/>
              <w:ind w:left="60" w:right="60"/>
              <w:jc w:val="center"/>
              <w:rPr>
                <w:rFonts w:ascii="Arial" w:hAnsi="Arial" w:cs="Arial"/>
                <w:color w:val="264A60"/>
                <w:sz w:val="18"/>
                <w:szCs w:val="18"/>
              </w:rPr>
            </w:pPr>
            <w:r w:rsidRPr="00072708">
              <w:rPr>
                <w:rFonts w:ascii="Arial" w:hAnsi="Arial" w:cs="Arial"/>
                <w:color w:val="264A60"/>
                <w:sz w:val="18"/>
                <w:szCs w:val="18"/>
              </w:rPr>
              <w:t>Sig.</w:t>
            </w:r>
          </w:p>
        </w:tc>
      </w:tr>
      <w:tr w:rsidR="00072708" w:rsidRPr="00072708">
        <w:trPr>
          <w:cantSplit/>
        </w:trPr>
        <w:tc>
          <w:tcPr>
            <w:tcW w:w="734" w:type="dxa"/>
            <w:vMerge w:val="restart"/>
            <w:tcBorders>
              <w:top w:val="single" w:sz="8" w:space="0" w:color="152935"/>
              <w:left w:val="nil"/>
              <w:bottom w:val="single" w:sz="8" w:space="0" w:color="152935"/>
              <w:right w:val="nil"/>
            </w:tcBorders>
            <w:shd w:val="clear" w:color="auto" w:fill="E0E0E0"/>
          </w:tcPr>
          <w:p w:rsidR="00072708" w:rsidRPr="00072708" w:rsidRDefault="00072708" w:rsidP="00952623">
            <w:pPr>
              <w:autoSpaceDE w:val="0"/>
              <w:autoSpaceDN w:val="0"/>
              <w:adjustRightInd w:val="0"/>
              <w:spacing w:after="0" w:line="480" w:lineRule="auto"/>
              <w:ind w:left="60" w:right="60"/>
              <w:rPr>
                <w:rFonts w:ascii="Arial" w:hAnsi="Arial" w:cs="Arial"/>
                <w:color w:val="264A60"/>
                <w:sz w:val="18"/>
                <w:szCs w:val="18"/>
              </w:rPr>
            </w:pPr>
            <w:r w:rsidRPr="00072708">
              <w:rPr>
                <w:rFonts w:ascii="Arial" w:hAnsi="Arial" w:cs="Arial"/>
                <w:color w:val="264A60"/>
                <w:sz w:val="18"/>
                <w:szCs w:val="18"/>
              </w:rPr>
              <w:t>1</w:t>
            </w:r>
          </w:p>
        </w:tc>
        <w:tc>
          <w:tcPr>
            <w:tcW w:w="1284" w:type="dxa"/>
            <w:tcBorders>
              <w:top w:val="single" w:sz="8" w:space="0" w:color="152935"/>
              <w:left w:val="nil"/>
              <w:bottom w:val="single" w:sz="8" w:space="0" w:color="AEAEAE"/>
              <w:right w:val="nil"/>
            </w:tcBorders>
            <w:shd w:val="clear" w:color="auto" w:fill="E0E0E0"/>
          </w:tcPr>
          <w:p w:rsidR="00072708" w:rsidRPr="00072708" w:rsidRDefault="00072708" w:rsidP="00952623">
            <w:pPr>
              <w:autoSpaceDE w:val="0"/>
              <w:autoSpaceDN w:val="0"/>
              <w:adjustRightInd w:val="0"/>
              <w:spacing w:after="0" w:line="480" w:lineRule="auto"/>
              <w:ind w:left="60" w:right="60"/>
              <w:rPr>
                <w:rFonts w:ascii="Arial" w:hAnsi="Arial" w:cs="Arial"/>
                <w:color w:val="264A60"/>
                <w:sz w:val="18"/>
                <w:szCs w:val="18"/>
              </w:rPr>
            </w:pPr>
            <w:r w:rsidRPr="00072708">
              <w:rPr>
                <w:rFonts w:ascii="Arial" w:hAnsi="Arial" w:cs="Arial"/>
                <w:color w:val="264A60"/>
                <w:sz w:val="18"/>
                <w:szCs w:val="18"/>
              </w:rPr>
              <w:t>Regression</w:t>
            </w:r>
          </w:p>
        </w:tc>
        <w:tc>
          <w:tcPr>
            <w:tcW w:w="1468" w:type="dxa"/>
            <w:tcBorders>
              <w:top w:val="single" w:sz="8" w:space="0" w:color="152935"/>
              <w:left w:val="nil"/>
              <w:bottom w:val="single" w:sz="8" w:space="0" w:color="AEAEAE"/>
              <w:right w:val="single" w:sz="8" w:space="0" w:color="E0E0E0"/>
            </w:tcBorders>
            <w:shd w:val="clear" w:color="auto" w:fill="FFFFFF"/>
          </w:tcPr>
          <w:p w:rsidR="00072708" w:rsidRPr="00072708" w:rsidRDefault="00072708" w:rsidP="00952623">
            <w:pPr>
              <w:autoSpaceDE w:val="0"/>
              <w:autoSpaceDN w:val="0"/>
              <w:adjustRightInd w:val="0"/>
              <w:spacing w:after="0" w:line="480" w:lineRule="auto"/>
              <w:ind w:left="60" w:right="60"/>
              <w:jc w:val="right"/>
              <w:rPr>
                <w:rFonts w:ascii="Arial" w:hAnsi="Arial" w:cs="Arial"/>
                <w:color w:val="010205"/>
                <w:sz w:val="18"/>
                <w:szCs w:val="18"/>
              </w:rPr>
            </w:pPr>
            <w:r w:rsidRPr="00072708">
              <w:rPr>
                <w:rFonts w:ascii="Arial" w:hAnsi="Arial" w:cs="Arial"/>
                <w:color w:val="010205"/>
                <w:sz w:val="18"/>
                <w:szCs w:val="18"/>
              </w:rPr>
              <w:t>1893130.859</w:t>
            </w:r>
          </w:p>
        </w:tc>
        <w:tc>
          <w:tcPr>
            <w:tcW w:w="1024" w:type="dxa"/>
            <w:tcBorders>
              <w:top w:val="single" w:sz="8" w:space="0" w:color="152935"/>
              <w:left w:val="single" w:sz="8" w:space="0" w:color="E0E0E0"/>
              <w:bottom w:val="single" w:sz="8" w:space="0" w:color="AEAEAE"/>
              <w:right w:val="single" w:sz="8" w:space="0" w:color="E0E0E0"/>
            </w:tcBorders>
            <w:shd w:val="clear" w:color="auto" w:fill="FFFFFF"/>
          </w:tcPr>
          <w:p w:rsidR="00072708" w:rsidRPr="00072708" w:rsidRDefault="00072708" w:rsidP="00952623">
            <w:pPr>
              <w:autoSpaceDE w:val="0"/>
              <w:autoSpaceDN w:val="0"/>
              <w:adjustRightInd w:val="0"/>
              <w:spacing w:after="0" w:line="480" w:lineRule="auto"/>
              <w:ind w:left="60" w:right="60"/>
              <w:jc w:val="right"/>
              <w:rPr>
                <w:rFonts w:ascii="Arial" w:hAnsi="Arial" w:cs="Arial"/>
                <w:color w:val="010205"/>
                <w:sz w:val="18"/>
                <w:szCs w:val="18"/>
              </w:rPr>
            </w:pPr>
            <w:r w:rsidRPr="00072708">
              <w:rPr>
                <w:rFonts w:ascii="Arial" w:hAnsi="Arial" w:cs="Arial"/>
                <w:color w:val="010205"/>
                <w:sz w:val="18"/>
                <w:szCs w:val="18"/>
              </w:rPr>
              <w:t>1</w:t>
            </w:r>
          </w:p>
        </w:tc>
        <w:tc>
          <w:tcPr>
            <w:tcW w:w="1407" w:type="dxa"/>
            <w:tcBorders>
              <w:top w:val="single" w:sz="8" w:space="0" w:color="152935"/>
              <w:left w:val="single" w:sz="8" w:space="0" w:color="E0E0E0"/>
              <w:bottom w:val="single" w:sz="8" w:space="0" w:color="AEAEAE"/>
              <w:right w:val="single" w:sz="8" w:space="0" w:color="E0E0E0"/>
            </w:tcBorders>
            <w:shd w:val="clear" w:color="auto" w:fill="FFFFFF"/>
          </w:tcPr>
          <w:p w:rsidR="00072708" w:rsidRPr="00072708" w:rsidRDefault="00072708" w:rsidP="00952623">
            <w:pPr>
              <w:autoSpaceDE w:val="0"/>
              <w:autoSpaceDN w:val="0"/>
              <w:adjustRightInd w:val="0"/>
              <w:spacing w:after="0" w:line="480" w:lineRule="auto"/>
              <w:ind w:left="60" w:right="60"/>
              <w:jc w:val="right"/>
              <w:rPr>
                <w:rFonts w:ascii="Arial" w:hAnsi="Arial" w:cs="Arial"/>
                <w:color w:val="010205"/>
                <w:sz w:val="18"/>
                <w:szCs w:val="18"/>
              </w:rPr>
            </w:pPr>
            <w:r w:rsidRPr="00072708">
              <w:rPr>
                <w:rFonts w:ascii="Arial" w:hAnsi="Arial" w:cs="Arial"/>
                <w:color w:val="010205"/>
                <w:sz w:val="18"/>
                <w:szCs w:val="18"/>
              </w:rPr>
              <w:t>1893130.859</w:t>
            </w:r>
          </w:p>
        </w:tc>
        <w:tc>
          <w:tcPr>
            <w:tcW w:w="1193" w:type="dxa"/>
            <w:tcBorders>
              <w:top w:val="single" w:sz="8" w:space="0" w:color="152935"/>
              <w:left w:val="single" w:sz="8" w:space="0" w:color="E0E0E0"/>
              <w:bottom w:val="single" w:sz="8" w:space="0" w:color="AEAEAE"/>
              <w:right w:val="single" w:sz="8" w:space="0" w:color="E0E0E0"/>
            </w:tcBorders>
            <w:shd w:val="clear" w:color="auto" w:fill="FFFFFF"/>
          </w:tcPr>
          <w:p w:rsidR="00072708" w:rsidRPr="00072708" w:rsidRDefault="00072708" w:rsidP="00952623">
            <w:pPr>
              <w:autoSpaceDE w:val="0"/>
              <w:autoSpaceDN w:val="0"/>
              <w:adjustRightInd w:val="0"/>
              <w:spacing w:after="0" w:line="480" w:lineRule="auto"/>
              <w:ind w:left="60" w:right="60"/>
              <w:jc w:val="right"/>
              <w:rPr>
                <w:rFonts w:ascii="Arial" w:hAnsi="Arial" w:cs="Arial"/>
                <w:color w:val="010205"/>
                <w:sz w:val="18"/>
                <w:szCs w:val="18"/>
              </w:rPr>
            </w:pPr>
            <w:r w:rsidRPr="00072708">
              <w:rPr>
                <w:rFonts w:ascii="Arial" w:hAnsi="Arial" w:cs="Arial"/>
                <w:color w:val="010205"/>
                <w:sz w:val="18"/>
                <w:szCs w:val="18"/>
              </w:rPr>
              <w:t>18231.918</w:t>
            </w:r>
          </w:p>
        </w:tc>
        <w:tc>
          <w:tcPr>
            <w:tcW w:w="1024" w:type="dxa"/>
            <w:tcBorders>
              <w:top w:val="single" w:sz="8" w:space="0" w:color="152935"/>
              <w:left w:val="single" w:sz="8" w:space="0" w:color="E0E0E0"/>
              <w:bottom w:val="single" w:sz="8" w:space="0" w:color="AEAEAE"/>
              <w:right w:val="nil"/>
            </w:tcBorders>
            <w:shd w:val="clear" w:color="auto" w:fill="FFFFFF"/>
          </w:tcPr>
          <w:p w:rsidR="00072708" w:rsidRPr="00072708" w:rsidRDefault="00072708" w:rsidP="00952623">
            <w:pPr>
              <w:autoSpaceDE w:val="0"/>
              <w:autoSpaceDN w:val="0"/>
              <w:adjustRightInd w:val="0"/>
              <w:spacing w:after="0" w:line="480" w:lineRule="auto"/>
              <w:ind w:left="60" w:right="60"/>
              <w:jc w:val="right"/>
              <w:rPr>
                <w:rFonts w:ascii="Arial" w:hAnsi="Arial" w:cs="Arial"/>
                <w:color w:val="010205"/>
                <w:sz w:val="18"/>
                <w:szCs w:val="18"/>
              </w:rPr>
            </w:pPr>
            <w:r w:rsidRPr="00072708">
              <w:rPr>
                <w:rFonts w:ascii="Arial" w:hAnsi="Arial" w:cs="Arial"/>
                <w:color w:val="010205"/>
                <w:sz w:val="18"/>
                <w:szCs w:val="18"/>
              </w:rPr>
              <w:t>.000</w:t>
            </w:r>
            <w:r w:rsidRPr="00072708">
              <w:rPr>
                <w:rFonts w:ascii="Arial" w:hAnsi="Arial" w:cs="Arial"/>
                <w:color w:val="010205"/>
                <w:sz w:val="18"/>
                <w:szCs w:val="18"/>
                <w:vertAlign w:val="superscript"/>
              </w:rPr>
              <w:t>b</w:t>
            </w:r>
          </w:p>
        </w:tc>
      </w:tr>
      <w:tr w:rsidR="00072708" w:rsidRPr="00072708">
        <w:trPr>
          <w:cantSplit/>
        </w:trPr>
        <w:tc>
          <w:tcPr>
            <w:tcW w:w="734" w:type="dxa"/>
            <w:vMerge/>
            <w:tcBorders>
              <w:top w:val="single" w:sz="8" w:space="0" w:color="152935"/>
              <w:left w:val="nil"/>
              <w:bottom w:val="single" w:sz="8" w:space="0" w:color="152935"/>
              <w:right w:val="nil"/>
            </w:tcBorders>
            <w:shd w:val="clear" w:color="auto" w:fill="E0E0E0"/>
          </w:tcPr>
          <w:p w:rsidR="00072708" w:rsidRPr="00072708" w:rsidRDefault="00072708" w:rsidP="00952623">
            <w:pPr>
              <w:autoSpaceDE w:val="0"/>
              <w:autoSpaceDN w:val="0"/>
              <w:adjustRightInd w:val="0"/>
              <w:spacing w:after="0" w:line="480" w:lineRule="auto"/>
              <w:rPr>
                <w:rFonts w:ascii="Arial" w:hAnsi="Arial" w:cs="Arial"/>
                <w:color w:val="010205"/>
                <w:sz w:val="18"/>
                <w:szCs w:val="18"/>
              </w:rPr>
            </w:pPr>
          </w:p>
        </w:tc>
        <w:tc>
          <w:tcPr>
            <w:tcW w:w="1284" w:type="dxa"/>
            <w:tcBorders>
              <w:top w:val="single" w:sz="8" w:space="0" w:color="AEAEAE"/>
              <w:left w:val="nil"/>
              <w:bottom w:val="single" w:sz="8" w:space="0" w:color="AEAEAE"/>
              <w:right w:val="nil"/>
            </w:tcBorders>
            <w:shd w:val="clear" w:color="auto" w:fill="E0E0E0"/>
          </w:tcPr>
          <w:p w:rsidR="00072708" w:rsidRPr="00072708" w:rsidRDefault="00072708" w:rsidP="00952623">
            <w:pPr>
              <w:autoSpaceDE w:val="0"/>
              <w:autoSpaceDN w:val="0"/>
              <w:adjustRightInd w:val="0"/>
              <w:spacing w:after="0" w:line="480" w:lineRule="auto"/>
              <w:ind w:left="60" w:right="60"/>
              <w:rPr>
                <w:rFonts w:ascii="Arial" w:hAnsi="Arial" w:cs="Arial"/>
                <w:color w:val="264A60"/>
                <w:sz w:val="18"/>
                <w:szCs w:val="18"/>
              </w:rPr>
            </w:pPr>
            <w:r w:rsidRPr="00072708">
              <w:rPr>
                <w:rFonts w:ascii="Arial" w:hAnsi="Arial" w:cs="Arial"/>
                <w:color w:val="264A60"/>
                <w:sz w:val="18"/>
                <w:szCs w:val="18"/>
              </w:rPr>
              <w:t>Residual</w:t>
            </w:r>
          </w:p>
        </w:tc>
        <w:tc>
          <w:tcPr>
            <w:tcW w:w="1468" w:type="dxa"/>
            <w:tcBorders>
              <w:top w:val="single" w:sz="8" w:space="0" w:color="AEAEAE"/>
              <w:left w:val="nil"/>
              <w:bottom w:val="single" w:sz="8" w:space="0" w:color="AEAEAE"/>
              <w:right w:val="single" w:sz="8" w:space="0" w:color="E0E0E0"/>
            </w:tcBorders>
            <w:shd w:val="clear" w:color="auto" w:fill="FFFFFF"/>
          </w:tcPr>
          <w:p w:rsidR="00072708" w:rsidRPr="00072708" w:rsidRDefault="00072708" w:rsidP="00952623">
            <w:pPr>
              <w:autoSpaceDE w:val="0"/>
              <w:autoSpaceDN w:val="0"/>
              <w:adjustRightInd w:val="0"/>
              <w:spacing w:after="0" w:line="480" w:lineRule="auto"/>
              <w:ind w:left="60" w:right="60"/>
              <w:jc w:val="right"/>
              <w:rPr>
                <w:rFonts w:ascii="Arial" w:hAnsi="Arial" w:cs="Arial"/>
                <w:color w:val="010205"/>
                <w:sz w:val="18"/>
                <w:szCs w:val="18"/>
              </w:rPr>
            </w:pPr>
            <w:r w:rsidRPr="00072708">
              <w:rPr>
                <w:rFonts w:ascii="Arial" w:hAnsi="Arial" w:cs="Arial"/>
                <w:color w:val="010205"/>
                <w:sz w:val="18"/>
                <w:szCs w:val="18"/>
              </w:rPr>
              <w:t>8272205.057</w:t>
            </w:r>
          </w:p>
        </w:tc>
        <w:tc>
          <w:tcPr>
            <w:tcW w:w="1024" w:type="dxa"/>
            <w:tcBorders>
              <w:top w:val="single" w:sz="8" w:space="0" w:color="AEAEAE"/>
              <w:left w:val="single" w:sz="8" w:space="0" w:color="E0E0E0"/>
              <w:bottom w:val="single" w:sz="8" w:space="0" w:color="AEAEAE"/>
              <w:right w:val="single" w:sz="8" w:space="0" w:color="E0E0E0"/>
            </w:tcBorders>
            <w:shd w:val="clear" w:color="auto" w:fill="FFFFFF"/>
          </w:tcPr>
          <w:p w:rsidR="00072708" w:rsidRPr="00072708" w:rsidRDefault="00072708" w:rsidP="00952623">
            <w:pPr>
              <w:autoSpaceDE w:val="0"/>
              <w:autoSpaceDN w:val="0"/>
              <w:adjustRightInd w:val="0"/>
              <w:spacing w:after="0" w:line="480" w:lineRule="auto"/>
              <w:ind w:left="60" w:right="60"/>
              <w:jc w:val="right"/>
              <w:rPr>
                <w:rFonts w:ascii="Arial" w:hAnsi="Arial" w:cs="Arial"/>
                <w:color w:val="010205"/>
                <w:sz w:val="18"/>
                <w:szCs w:val="18"/>
              </w:rPr>
            </w:pPr>
            <w:r w:rsidRPr="00072708">
              <w:rPr>
                <w:rFonts w:ascii="Arial" w:hAnsi="Arial" w:cs="Arial"/>
                <w:color w:val="010205"/>
                <w:sz w:val="18"/>
                <w:szCs w:val="18"/>
              </w:rPr>
              <w:t>79666</w:t>
            </w:r>
          </w:p>
        </w:tc>
        <w:tc>
          <w:tcPr>
            <w:tcW w:w="1407" w:type="dxa"/>
            <w:tcBorders>
              <w:top w:val="single" w:sz="8" w:space="0" w:color="AEAEAE"/>
              <w:left w:val="single" w:sz="8" w:space="0" w:color="E0E0E0"/>
              <w:bottom w:val="single" w:sz="8" w:space="0" w:color="AEAEAE"/>
              <w:right w:val="single" w:sz="8" w:space="0" w:color="E0E0E0"/>
            </w:tcBorders>
            <w:shd w:val="clear" w:color="auto" w:fill="FFFFFF"/>
          </w:tcPr>
          <w:p w:rsidR="00072708" w:rsidRPr="00072708" w:rsidRDefault="00072708" w:rsidP="00952623">
            <w:pPr>
              <w:autoSpaceDE w:val="0"/>
              <w:autoSpaceDN w:val="0"/>
              <w:adjustRightInd w:val="0"/>
              <w:spacing w:after="0" w:line="480" w:lineRule="auto"/>
              <w:ind w:left="60" w:right="60"/>
              <w:jc w:val="right"/>
              <w:rPr>
                <w:rFonts w:ascii="Arial" w:hAnsi="Arial" w:cs="Arial"/>
                <w:color w:val="010205"/>
                <w:sz w:val="18"/>
                <w:szCs w:val="18"/>
              </w:rPr>
            </w:pPr>
            <w:r w:rsidRPr="00072708">
              <w:rPr>
                <w:rFonts w:ascii="Arial" w:hAnsi="Arial" w:cs="Arial"/>
                <w:color w:val="010205"/>
                <w:sz w:val="18"/>
                <w:szCs w:val="18"/>
              </w:rPr>
              <w:t>103.836</w:t>
            </w:r>
          </w:p>
        </w:tc>
        <w:tc>
          <w:tcPr>
            <w:tcW w:w="1193" w:type="dxa"/>
            <w:tcBorders>
              <w:top w:val="single" w:sz="8" w:space="0" w:color="AEAEAE"/>
              <w:left w:val="single" w:sz="8" w:space="0" w:color="E0E0E0"/>
              <w:bottom w:val="single" w:sz="8" w:space="0" w:color="AEAEAE"/>
              <w:right w:val="single" w:sz="8" w:space="0" w:color="E0E0E0"/>
            </w:tcBorders>
            <w:shd w:val="clear" w:color="auto" w:fill="FFFFFF"/>
            <w:vAlign w:val="center"/>
          </w:tcPr>
          <w:p w:rsidR="00072708" w:rsidRPr="00072708" w:rsidRDefault="00072708" w:rsidP="00952623">
            <w:pPr>
              <w:autoSpaceDE w:val="0"/>
              <w:autoSpaceDN w:val="0"/>
              <w:adjustRightInd w:val="0"/>
              <w:spacing w:after="0" w:line="48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AEAEAE"/>
              <w:right w:val="nil"/>
            </w:tcBorders>
            <w:shd w:val="clear" w:color="auto" w:fill="FFFFFF"/>
            <w:vAlign w:val="center"/>
          </w:tcPr>
          <w:p w:rsidR="00072708" w:rsidRPr="00072708" w:rsidRDefault="00072708" w:rsidP="00952623">
            <w:pPr>
              <w:autoSpaceDE w:val="0"/>
              <w:autoSpaceDN w:val="0"/>
              <w:adjustRightInd w:val="0"/>
              <w:spacing w:after="0" w:line="480" w:lineRule="auto"/>
              <w:rPr>
                <w:rFonts w:ascii="Times New Roman" w:hAnsi="Times New Roman" w:cs="Times New Roman"/>
                <w:sz w:val="24"/>
                <w:szCs w:val="24"/>
              </w:rPr>
            </w:pPr>
          </w:p>
        </w:tc>
      </w:tr>
      <w:tr w:rsidR="00072708" w:rsidRPr="00072708">
        <w:trPr>
          <w:cantSplit/>
        </w:trPr>
        <w:tc>
          <w:tcPr>
            <w:tcW w:w="734" w:type="dxa"/>
            <w:vMerge/>
            <w:tcBorders>
              <w:top w:val="single" w:sz="8" w:space="0" w:color="152935"/>
              <w:left w:val="nil"/>
              <w:bottom w:val="single" w:sz="8" w:space="0" w:color="152935"/>
              <w:right w:val="nil"/>
            </w:tcBorders>
            <w:shd w:val="clear" w:color="auto" w:fill="E0E0E0"/>
          </w:tcPr>
          <w:p w:rsidR="00072708" w:rsidRPr="00072708" w:rsidRDefault="00072708" w:rsidP="00952623">
            <w:pPr>
              <w:autoSpaceDE w:val="0"/>
              <w:autoSpaceDN w:val="0"/>
              <w:adjustRightInd w:val="0"/>
              <w:spacing w:after="0" w:line="480" w:lineRule="auto"/>
              <w:rPr>
                <w:rFonts w:ascii="Times New Roman" w:hAnsi="Times New Roman" w:cs="Times New Roman"/>
                <w:sz w:val="24"/>
                <w:szCs w:val="24"/>
              </w:rPr>
            </w:pPr>
          </w:p>
        </w:tc>
        <w:tc>
          <w:tcPr>
            <w:tcW w:w="1284" w:type="dxa"/>
            <w:tcBorders>
              <w:top w:val="single" w:sz="8" w:space="0" w:color="AEAEAE"/>
              <w:left w:val="nil"/>
              <w:bottom w:val="single" w:sz="8" w:space="0" w:color="152935"/>
              <w:right w:val="nil"/>
            </w:tcBorders>
            <w:shd w:val="clear" w:color="auto" w:fill="E0E0E0"/>
          </w:tcPr>
          <w:p w:rsidR="00072708" w:rsidRPr="00072708" w:rsidRDefault="00072708" w:rsidP="00952623">
            <w:pPr>
              <w:autoSpaceDE w:val="0"/>
              <w:autoSpaceDN w:val="0"/>
              <w:adjustRightInd w:val="0"/>
              <w:spacing w:after="0" w:line="480" w:lineRule="auto"/>
              <w:ind w:left="60" w:right="60"/>
              <w:rPr>
                <w:rFonts w:ascii="Arial" w:hAnsi="Arial" w:cs="Arial"/>
                <w:color w:val="264A60"/>
                <w:sz w:val="18"/>
                <w:szCs w:val="18"/>
              </w:rPr>
            </w:pPr>
            <w:r w:rsidRPr="00072708">
              <w:rPr>
                <w:rFonts w:ascii="Arial" w:hAnsi="Arial" w:cs="Arial"/>
                <w:color w:val="264A60"/>
                <w:sz w:val="18"/>
                <w:szCs w:val="18"/>
              </w:rPr>
              <w:t>Total</w:t>
            </w:r>
          </w:p>
        </w:tc>
        <w:tc>
          <w:tcPr>
            <w:tcW w:w="1468" w:type="dxa"/>
            <w:tcBorders>
              <w:top w:val="single" w:sz="8" w:space="0" w:color="AEAEAE"/>
              <w:left w:val="nil"/>
              <w:bottom w:val="single" w:sz="8" w:space="0" w:color="152935"/>
              <w:right w:val="single" w:sz="8" w:space="0" w:color="E0E0E0"/>
            </w:tcBorders>
            <w:shd w:val="clear" w:color="auto" w:fill="FFFFFF"/>
          </w:tcPr>
          <w:p w:rsidR="00072708" w:rsidRPr="00072708" w:rsidRDefault="00072708" w:rsidP="00952623">
            <w:pPr>
              <w:autoSpaceDE w:val="0"/>
              <w:autoSpaceDN w:val="0"/>
              <w:adjustRightInd w:val="0"/>
              <w:spacing w:after="0" w:line="480" w:lineRule="auto"/>
              <w:ind w:left="60" w:right="60"/>
              <w:jc w:val="right"/>
              <w:rPr>
                <w:rFonts w:ascii="Arial" w:hAnsi="Arial" w:cs="Arial"/>
                <w:color w:val="010205"/>
                <w:sz w:val="18"/>
                <w:szCs w:val="18"/>
              </w:rPr>
            </w:pPr>
            <w:r w:rsidRPr="00072708">
              <w:rPr>
                <w:rFonts w:ascii="Arial" w:hAnsi="Arial" w:cs="Arial"/>
                <w:color w:val="010205"/>
                <w:sz w:val="18"/>
                <w:szCs w:val="18"/>
              </w:rPr>
              <w:t>10165335.916</w:t>
            </w:r>
          </w:p>
        </w:tc>
        <w:tc>
          <w:tcPr>
            <w:tcW w:w="1024" w:type="dxa"/>
            <w:tcBorders>
              <w:top w:val="single" w:sz="8" w:space="0" w:color="AEAEAE"/>
              <w:left w:val="single" w:sz="8" w:space="0" w:color="E0E0E0"/>
              <w:bottom w:val="single" w:sz="8" w:space="0" w:color="152935"/>
              <w:right w:val="single" w:sz="8" w:space="0" w:color="E0E0E0"/>
            </w:tcBorders>
            <w:shd w:val="clear" w:color="auto" w:fill="FFFFFF"/>
          </w:tcPr>
          <w:p w:rsidR="00072708" w:rsidRPr="00072708" w:rsidRDefault="00072708" w:rsidP="00952623">
            <w:pPr>
              <w:autoSpaceDE w:val="0"/>
              <w:autoSpaceDN w:val="0"/>
              <w:adjustRightInd w:val="0"/>
              <w:spacing w:after="0" w:line="480" w:lineRule="auto"/>
              <w:ind w:left="60" w:right="60"/>
              <w:jc w:val="right"/>
              <w:rPr>
                <w:rFonts w:ascii="Arial" w:hAnsi="Arial" w:cs="Arial"/>
                <w:color w:val="010205"/>
                <w:sz w:val="18"/>
                <w:szCs w:val="18"/>
              </w:rPr>
            </w:pPr>
            <w:r w:rsidRPr="00072708">
              <w:rPr>
                <w:rFonts w:ascii="Arial" w:hAnsi="Arial" w:cs="Arial"/>
                <w:color w:val="010205"/>
                <w:sz w:val="18"/>
                <w:szCs w:val="18"/>
              </w:rPr>
              <w:t>79667</w:t>
            </w:r>
          </w:p>
        </w:tc>
        <w:tc>
          <w:tcPr>
            <w:tcW w:w="1407"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072708" w:rsidRPr="00072708" w:rsidRDefault="00072708" w:rsidP="00952623">
            <w:pPr>
              <w:autoSpaceDE w:val="0"/>
              <w:autoSpaceDN w:val="0"/>
              <w:adjustRightInd w:val="0"/>
              <w:spacing w:after="0" w:line="480" w:lineRule="auto"/>
              <w:rPr>
                <w:rFonts w:ascii="Times New Roman" w:hAnsi="Times New Roman" w:cs="Times New Roman"/>
                <w:sz w:val="24"/>
                <w:szCs w:val="24"/>
              </w:rPr>
            </w:pPr>
          </w:p>
        </w:tc>
        <w:tc>
          <w:tcPr>
            <w:tcW w:w="1193" w:type="dxa"/>
            <w:tcBorders>
              <w:top w:val="single" w:sz="8" w:space="0" w:color="AEAEAE"/>
              <w:left w:val="single" w:sz="8" w:space="0" w:color="E0E0E0"/>
              <w:bottom w:val="single" w:sz="8" w:space="0" w:color="152935"/>
              <w:right w:val="single" w:sz="8" w:space="0" w:color="E0E0E0"/>
            </w:tcBorders>
            <w:shd w:val="clear" w:color="auto" w:fill="FFFFFF"/>
            <w:vAlign w:val="center"/>
          </w:tcPr>
          <w:p w:rsidR="00072708" w:rsidRPr="00072708" w:rsidRDefault="00072708" w:rsidP="00952623">
            <w:pPr>
              <w:autoSpaceDE w:val="0"/>
              <w:autoSpaceDN w:val="0"/>
              <w:adjustRightInd w:val="0"/>
              <w:spacing w:after="0" w:line="480" w:lineRule="auto"/>
              <w:rPr>
                <w:rFonts w:ascii="Times New Roman" w:hAnsi="Times New Roman" w:cs="Times New Roman"/>
                <w:sz w:val="24"/>
                <w:szCs w:val="24"/>
              </w:rPr>
            </w:pPr>
          </w:p>
        </w:tc>
        <w:tc>
          <w:tcPr>
            <w:tcW w:w="1024" w:type="dxa"/>
            <w:tcBorders>
              <w:top w:val="single" w:sz="8" w:space="0" w:color="AEAEAE"/>
              <w:left w:val="single" w:sz="8" w:space="0" w:color="E0E0E0"/>
              <w:bottom w:val="single" w:sz="8" w:space="0" w:color="152935"/>
              <w:right w:val="nil"/>
            </w:tcBorders>
            <w:shd w:val="clear" w:color="auto" w:fill="FFFFFF"/>
            <w:vAlign w:val="center"/>
          </w:tcPr>
          <w:p w:rsidR="00072708" w:rsidRPr="00072708" w:rsidRDefault="00072708" w:rsidP="00952623">
            <w:pPr>
              <w:autoSpaceDE w:val="0"/>
              <w:autoSpaceDN w:val="0"/>
              <w:adjustRightInd w:val="0"/>
              <w:spacing w:after="0" w:line="480" w:lineRule="auto"/>
              <w:rPr>
                <w:rFonts w:ascii="Times New Roman" w:hAnsi="Times New Roman" w:cs="Times New Roman"/>
                <w:sz w:val="24"/>
                <w:szCs w:val="24"/>
              </w:rPr>
            </w:pPr>
          </w:p>
        </w:tc>
      </w:tr>
      <w:tr w:rsidR="00072708" w:rsidRPr="00072708">
        <w:trPr>
          <w:cantSplit/>
        </w:trPr>
        <w:tc>
          <w:tcPr>
            <w:tcW w:w="8134" w:type="dxa"/>
            <w:gridSpan w:val="7"/>
            <w:tcBorders>
              <w:top w:val="nil"/>
              <w:left w:val="nil"/>
              <w:bottom w:val="nil"/>
              <w:right w:val="nil"/>
            </w:tcBorders>
            <w:shd w:val="clear" w:color="auto" w:fill="FFFFFF"/>
          </w:tcPr>
          <w:p w:rsidR="00072708" w:rsidRPr="00072708" w:rsidRDefault="00072708" w:rsidP="00952623">
            <w:pPr>
              <w:autoSpaceDE w:val="0"/>
              <w:autoSpaceDN w:val="0"/>
              <w:adjustRightInd w:val="0"/>
              <w:spacing w:after="0" w:line="480" w:lineRule="auto"/>
              <w:ind w:left="60" w:right="60"/>
              <w:rPr>
                <w:rFonts w:ascii="Arial" w:hAnsi="Arial" w:cs="Arial"/>
                <w:color w:val="010205"/>
                <w:sz w:val="18"/>
                <w:szCs w:val="18"/>
              </w:rPr>
            </w:pPr>
            <w:r w:rsidRPr="00072708">
              <w:rPr>
                <w:rFonts w:ascii="Arial" w:hAnsi="Arial" w:cs="Arial"/>
                <w:color w:val="010205"/>
                <w:sz w:val="18"/>
                <w:szCs w:val="18"/>
              </w:rPr>
              <w:t>a. Dependent Variable: NUMBER OF DAYS PHYSICAL HEALTH NOT GOOD</w:t>
            </w:r>
          </w:p>
        </w:tc>
      </w:tr>
      <w:tr w:rsidR="00072708" w:rsidRPr="00072708">
        <w:trPr>
          <w:cantSplit/>
        </w:trPr>
        <w:tc>
          <w:tcPr>
            <w:tcW w:w="8134" w:type="dxa"/>
            <w:gridSpan w:val="7"/>
            <w:tcBorders>
              <w:top w:val="nil"/>
              <w:left w:val="nil"/>
              <w:bottom w:val="nil"/>
              <w:right w:val="nil"/>
            </w:tcBorders>
            <w:shd w:val="clear" w:color="auto" w:fill="FFFFFF"/>
          </w:tcPr>
          <w:p w:rsidR="00072708" w:rsidRPr="00072708" w:rsidRDefault="00072708" w:rsidP="00952623">
            <w:pPr>
              <w:autoSpaceDE w:val="0"/>
              <w:autoSpaceDN w:val="0"/>
              <w:adjustRightInd w:val="0"/>
              <w:spacing w:after="0" w:line="480" w:lineRule="auto"/>
              <w:ind w:left="60" w:right="60"/>
              <w:rPr>
                <w:rFonts w:ascii="Arial" w:hAnsi="Arial" w:cs="Arial"/>
                <w:color w:val="010205"/>
                <w:sz w:val="18"/>
                <w:szCs w:val="18"/>
              </w:rPr>
            </w:pPr>
            <w:r w:rsidRPr="00072708">
              <w:rPr>
                <w:rFonts w:ascii="Arial" w:hAnsi="Arial" w:cs="Arial"/>
                <w:color w:val="010205"/>
                <w:sz w:val="18"/>
                <w:szCs w:val="18"/>
              </w:rPr>
              <w:t>b. Predictors: (Constant), NUMBER OF DAYS MENTAL HEALTH NOT GOOD</w:t>
            </w:r>
          </w:p>
        </w:tc>
      </w:tr>
    </w:tbl>
    <w:p w:rsidR="00072708" w:rsidRPr="00072708" w:rsidRDefault="00072708" w:rsidP="00952623">
      <w:pPr>
        <w:autoSpaceDE w:val="0"/>
        <w:autoSpaceDN w:val="0"/>
        <w:adjustRightInd w:val="0"/>
        <w:spacing w:after="0" w:line="480" w:lineRule="auto"/>
        <w:rPr>
          <w:rFonts w:ascii="Times New Roman" w:hAnsi="Times New Roman" w:cs="Times New Roman"/>
          <w:sz w:val="24"/>
          <w:szCs w:val="24"/>
        </w:rPr>
      </w:pPr>
    </w:p>
    <w:p w:rsidR="00072708" w:rsidRPr="00FA1638" w:rsidRDefault="00952623" w:rsidP="00952623">
      <w:pPr>
        <w:spacing w:line="480" w:lineRule="auto"/>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13pt">
            <v:imagedata r:id="rId5" o:title="model summary"/>
          </v:shape>
        </w:pict>
      </w:r>
    </w:p>
    <w:p w:rsidR="00D2299F" w:rsidRDefault="00D2299F" w:rsidP="00952623">
      <w:pPr>
        <w:spacing w:line="480" w:lineRule="auto"/>
      </w:pPr>
    </w:p>
    <w:p w:rsidR="00D2299F" w:rsidRDefault="00D2299F" w:rsidP="00952623">
      <w:pPr>
        <w:spacing w:line="480" w:lineRule="auto"/>
        <w:rPr>
          <w:b/>
        </w:rPr>
      </w:pPr>
      <w:r>
        <w:rPr>
          <w:b/>
        </w:rPr>
        <w:t>Graph 1 Scatter plot of MENTHLTH over PHYSHLTH</w:t>
      </w:r>
    </w:p>
    <w:p w:rsidR="00D2299F" w:rsidRDefault="00D2299F" w:rsidP="0095262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8680" cy="3500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8680" cy="3500120"/>
                    </a:xfrm>
                    <a:prstGeom prst="rect">
                      <a:avLst/>
                    </a:prstGeom>
                    <a:noFill/>
                    <a:ln>
                      <a:noFill/>
                    </a:ln>
                  </pic:spPr>
                </pic:pic>
              </a:graphicData>
            </a:graphic>
          </wp:inline>
        </w:drawing>
      </w:r>
    </w:p>
    <w:p w:rsidR="00296E79" w:rsidRDefault="00296E79" w:rsidP="00952623">
      <w:pPr>
        <w:autoSpaceDE w:val="0"/>
        <w:autoSpaceDN w:val="0"/>
        <w:adjustRightInd w:val="0"/>
        <w:spacing w:after="0" w:line="480" w:lineRule="auto"/>
        <w:rPr>
          <w:rFonts w:ascii="Times New Roman" w:hAnsi="Times New Roman" w:cs="Times New Roman"/>
          <w:sz w:val="24"/>
          <w:szCs w:val="24"/>
        </w:rPr>
      </w:pPr>
    </w:p>
    <w:p w:rsidR="00D2299F" w:rsidRPr="00B8362C" w:rsidRDefault="00B8362C" w:rsidP="00952623">
      <w:pPr>
        <w:autoSpaceDE w:val="0"/>
        <w:autoSpaceDN w:val="0"/>
        <w:adjustRightInd w:val="0"/>
        <w:spacing w:after="0" w:line="480" w:lineRule="auto"/>
        <w:rPr>
          <w:b/>
        </w:rPr>
      </w:pPr>
      <w:r w:rsidRPr="00B8362C">
        <w:rPr>
          <w:b/>
        </w:rPr>
        <w:lastRenderedPageBreak/>
        <w:t xml:space="preserve">Graph 2 </w:t>
      </w:r>
      <w:r>
        <w:rPr>
          <w:b/>
        </w:rPr>
        <w:t>Scatter plot of Residuals ZRESID over predicted ZPRED values</w:t>
      </w:r>
    </w:p>
    <w:p w:rsidR="00B8362C" w:rsidRDefault="00B8362C" w:rsidP="0095262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8680" cy="35001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8680" cy="3500120"/>
                    </a:xfrm>
                    <a:prstGeom prst="rect">
                      <a:avLst/>
                    </a:prstGeom>
                    <a:noFill/>
                    <a:ln>
                      <a:noFill/>
                    </a:ln>
                  </pic:spPr>
                </pic:pic>
              </a:graphicData>
            </a:graphic>
          </wp:inline>
        </w:drawing>
      </w:r>
    </w:p>
    <w:p w:rsidR="00B8362C" w:rsidRDefault="00B8362C" w:rsidP="00952623">
      <w:pPr>
        <w:autoSpaceDE w:val="0"/>
        <w:autoSpaceDN w:val="0"/>
        <w:adjustRightInd w:val="0"/>
        <w:spacing w:after="0" w:line="480" w:lineRule="auto"/>
        <w:rPr>
          <w:rFonts w:ascii="Times New Roman" w:hAnsi="Times New Roman" w:cs="Times New Roman"/>
          <w:sz w:val="24"/>
          <w:szCs w:val="24"/>
        </w:rPr>
      </w:pPr>
    </w:p>
    <w:p w:rsidR="00B8362C" w:rsidRDefault="00B8362C" w:rsidP="00952623">
      <w:pPr>
        <w:autoSpaceDE w:val="0"/>
        <w:autoSpaceDN w:val="0"/>
        <w:adjustRightInd w:val="0"/>
        <w:spacing w:after="0" w:line="480" w:lineRule="auto"/>
        <w:rPr>
          <w:b/>
        </w:rPr>
      </w:pPr>
      <w:r w:rsidRPr="00B8362C">
        <w:rPr>
          <w:b/>
        </w:rPr>
        <w:t>Graph 3</w:t>
      </w:r>
      <w:r>
        <w:rPr>
          <w:b/>
        </w:rPr>
        <w:t xml:space="preserve"> Histogram of Regression Residual Frequency</w:t>
      </w:r>
    </w:p>
    <w:p w:rsidR="00B8362C" w:rsidRDefault="00B8362C" w:rsidP="00952623">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8680" cy="35001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8680" cy="3500120"/>
                    </a:xfrm>
                    <a:prstGeom prst="rect">
                      <a:avLst/>
                    </a:prstGeom>
                    <a:noFill/>
                    <a:ln>
                      <a:noFill/>
                    </a:ln>
                  </pic:spPr>
                </pic:pic>
              </a:graphicData>
            </a:graphic>
          </wp:inline>
        </w:drawing>
      </w:r>
    </w:p>
    <w:p w:rsidR="00B8362C" w:rsidRDefault="00B8362C" w:rsidP="00952623">
      <w:pPr>
        <w:autoSpaceDE w:val="0"/>
        <w:autoSpaceDN w:val="0"/>
        <w:adjustRightInd w:val="0"/>
        <w:spacing w:after="0" w:line="480" w:lineRule="auto"/>
        <w:rPr>
          <w:rFonts w:ascii="Times New Roman" w:hAnsi="Times New Roman" w:cs="Times New Roman"/>
          <w:sz w:val="24"/>
          <w:szCs w:val="24"/>
        </w:rPr>
      </w:pPr>
    </w:p>
    <w:p w:rsidR="00B8362C" w:rsidRDefault="00B8362C" w:rsidP="00952623">
      <w:pPr>
        <w:autoSpaceDE w:val="0"/>
        <w:autoSpaceDN w:val="0"/>
        <w:adjustRightInd w:val="0"/>
        <w:spacing w:after="0" w:line="480" w:lineRule="auto"/>
        <w:rPr>
          <w:rFonts w:ascii="Times New Roman" w:hAnsi="Times New Roman" w:cs="Times New Roman"/>
          <w:sz w:val="24"/>
          <w:szCs w:val="24"/>
        </w:rPr>
      </w:pPr>
    </w:p>
    <w:p w:rsidR="00B8362C" w:rsidRDefault="004D1DAA" w:rsidP="00952623">
      <w:pPr>
        <w:autoSpaceDE w:val="0"/>
        <w:autoSpaceDN w:val="0"/>
        <w:adjustRightInd w:val="0"/>
        <w:spacing w:after="0" w:line="480" w:lineRule="auto"/>
        <w:rPr>
          <w:b/>
        </w:rPr>
      </w:pPr>
      <w:r>
        <w:rPr>
          <w:b/>
        </w:rPr>
        <w:t>Table 5</w:t>
      </w:r>
      <w:r w:rsidR="00614E73">
        <w:rPr>
          <w:b/>
        </w:rPr>
        <w:t xml:space="preserve"> Table of Top 10 Influential Values</w:t>
      </w:r>
    </w:p>
    <w:p w:rsidR="004D1DAA" w:rsidRPr="00B8362C" w:rsidRDefault="004D1DAA" w:rsidP="00952623">
      <w:pPr>
        <w:autoSpaceDE w:val="0"/>
        <w:autoSpaceDN w:val="0"/>
        <w:adjustRightInd w:val="0"/>
        <w:spacing w:after="0" w:line="480" w:lineRule="auto"/>
        <w:rPr>
          <w:b/>
        </w:rPr>
      </w:pPr>
    </w:p>
    <w:tbl>
      <w:tblPr>
        <w:tblStyle w:val="PlainTable5"/>
        <w:tblW w:w="0" w:type="auto"/>
        <w:tblLook w:val="04A0" w:firstRow="1" w:lastRow="0" w:firstColumn="1" w:lastColumn="0" w:noHBand="0" w:noVBand="1"/>
      </w:tblPr>
      <w:tblGrid>
        <w:gridCol w:w="1795"/>
        <w:gridCol w:w="1321"/>
        <w:gridCol w:w="1558"/>
        <w:gridCol w:w="1558"/>
        <w:gridCol w:w="1559"/>
        <w:gridCol w:w="1559"/>
      </w:tblGrid>
      <w:tr w:rsidR="00614E73" w:rsidTr="004D1DA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95" w:type="dxa"/>
          </w:tcPr>
          <w:p w:rsidR="00614E73" w:rsidRDefault="00614E73" w:rsidP="00952623">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Top 10 values</w:t>
            </w:r>
          </w:p>
        </w:tc>
        <w:tc>
          <w:tcPr>
            <w:tcW w:w="1321" w:type="dxa"/>
          </w:tcPr>
          <w:p w:rsidR="00614E73" w:rsidRDefault="00614E73" w:rsidP="00952623">
            <w:pPr>
              <w:autoSpaceDE w:val="0"/>
              <w:autoSpaceDN w:val="0"/>
              <w:adjustRightInd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Cook’s d</w:t>
            </w:r>
          </w:p>
        </w:tc>
        <w:tc>
          <w:tcPr>
            <w:tcW w:w="1558" w:type="dxa"/>
          </w:tcPr>
          <w:p w:rsidR="00614E73" w:rsidRDefault="0059054F" w:rsidP="00952623">
            <w:pPr>
              <w:autoSpaceDE w:val="0"/>
              <w:autoSpaceDN w:val="0"/>
              <w:adjustRightInd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Standardized Residuals</w:t>
            </w:r>
          </w:p>
        </w:tc>
        <w:tc>
          <w:tcPr>
            <w:tcW w:w="1558" w:type="dxa"/>
          </w:tcPr>
          <w:p w:rsidR="00614E73" w:rsidRPr="0059054F" w:rsidRDefault="004D1DAA" w:rsidP="00952623">
            <w:pPr>
              <w:autoSpaceDE w:val="0"/>
              <w:autoSpaceDN w:val="0"/>
              <w:adjustRightInd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Standardized</w:t>
            </w:r>
            <w:r w:rsidR="0059054F">
              <w:rPr>
                <w:rFonts w:ascii="Times New Roman" w:hAnsi="Times New Roman" w:cs="Times New Roman"/>
                <w:sz w:val="24"/>
                <w:szCs w:val="24"/>
              </w:rPr>
              <w:t xml:space="preserve"> DFBetas</w:t>
            </w:r>
            <w:r w:rsidR="0059054F">
              <w:rPr>
                <w:rFonts w:ascii="Times New Roman" w:hAnsi="Times New Roman" w:cs="Times New Roman"/>
                <w:sz w:val="24"/>
                <w:szCs w:val="24"/>
                <w:vertAlign w:val="subscript"/>
              </w:rPr>
              <w:t>0</w:t>
            </w:r>
          </w:p>
        </w:tc>
        <w:tc>
          <w:tcPr>
            <w:tcW w:w="1559" w:type="dxa"/>
          </w:tcPr>
          <w:p w:rsidR="00614E73" w:rsidRDefault="004D1DAA" w:rsidP="00952623">
            <w:pPr>
              <w:autoSpaceDE w:val="0"/>
              <w:autoSpaceDN w:val="0"/>
              <w:adjustRightInd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Standardized</w:t>
            </w:r>
            <w:r w:rsidR="0059054F">
              <w:rPr>
                <w:rFonts w:ascii="Times New Roman" w:hAnsi="Times New Roman" w:cs="Times New Roman"/>
                <w:sz w:val="24"/>
                <w:szCs w:val="24"/>
              </w:rPr>
              <w:t xml:space="preserve"> DFBetas</w:t>
            </w:r>
            <w:r w:rsidR="0059054F">
              <w:rPr>
                <w:rFonts w:ascii="Times New Roman" w:hAnsi="Times New Roman" w:cs="Times New Roman"/>
                <w:sz w:val="24"/>
                <w:szCs w:val="24"/>
                <w:vertAlign w:val="subscript"/>
              </w:rPr>
              <w:t>1</w:t>
            </w:r>
          </w:p>
        </w:tc>
        <w:tc>
          <w:tcPr>
            <w:tcW w:w="1559" w:type="dxa"/>
          </w:tcPr>
          <w:p w:rsidR="00614E73" w:rsidRDefault="0059054F" w:rsidP="00952623">
            <w:pPr>
              <w:autoSpaceDE w:val="0"/>
              <w:autoSpaceDN w:val="0"/>
              <w:adjustRightInd w:val="0"/>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Standardized DFFits</w:t>
            </w:r>
          </w:p>
        </w:tc>
      </w:tr>
      <w:tr w:rsidR="00614E73" w:rsidTr="004D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14E73" w:rsidRDefault="00614E73" w:rsidP="00952623">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1.</w:t>
            </w:r>
          </w:p>
        </w:tc>
        <w:tc>
          <w:tcPr>
            <w:tcW w:w="1321" w:type="dxa"/>
          </w:tcPr>
          <w:p w:rsidR="00614E73" w:rsidRDefault="0059054F" w:rsidP="00952623">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0.00008</w:t>
            </w:r>
          </w:p>
        </w:tc>
        <w:tc>
          <w:tcPr>
            <w:tcW w:w="1558" w:type="dxa"/>
          </w:tcPr>
          <w:p w:rsidR="00614E73" w:rsidRDefault="0059054F" w:rsidP="00952623">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2.20851</w:t>
            </w:r>
          </w:p>
        </w:tc>
        <w:tc>
          <w:tcPr>
            <w:tcW w:w="1558" w:type="dxa"/>
          </w:tcPr>
          <w:p w:rsidR="00614E73" w:rsidRDefault="0059054F" w:rsidP="00952623">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0.01155</w:t>
            </w:r>
          </w:p>
        </w:tc>
        <w:tc>
          <w:tcPr>
            <w:tcW w:w="1559" w:type="dxa"/>
          </w:tcPr>
          <w:p w:rsidR="00614E73" w:rsidRDefault="0059054F" w:rsidP="00952623">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0.00521</w:t>
            </w:r>
          </w:p>
        </w:tc>
        <w:tc>
          <w:tcPr>
            <w:tcW w:w="1559" w:type="dxa"/>
          </w:tcPr>
          <w:p w:rsidR="00614E73" w:rsidRDefault="0059054F" w:rsidP="00952623">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0.01156</w:t>
            </w:r>
          </w:p>
        </w:tc>
      </w:tr>
      <w:tr w:rsidR="00614E73" w:rsidTr="004D1DAA">
        <w:tc>
          <w:tcPr>
            <w:cnfStyle w:val="001000000000" w:firstRow="0" w:lastRow="0" w:firstColumn="1" w:lastColumn="0" w:oddVBand="0" w:evenVBand="0" w:oddHBand="0" w:evenHBand="0" w:firstRowFirstColumn="0" w:firstRowLastColumn="0" w:lastRowFirstColumn="0" w:lastRowLastColumn="0"/>
            <w:tcW w:w="1795" w:type="dxa"/>
          </w:tcPr>
          <w:p w:rsidR="00614E73" w:rsidRDefault="00614E73" w:rsidP="00952623">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2.</w:t>
            </w:r>
          </w:p>
        </w:tc>
        <w:tc>
          <w:tcPr>
            <w:tcW w:w="1321" w:type="dxa"/>
          </w:tcPr>
          <w:p w:rsidR="00614E73" w:rsidRDefault="0059054F" w:rsidP="00952623">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0.00008</w:t>
            </w:r>
          </w:p>
        </w:tc>
        <w:tc>
          <w:tcPr>
            <w:tcW w:w="1558" w:type="dxa"/>
          </w:tcPr>
          <w:p w:rsidR="00614E73" w:rsidRDefault="0059054F" w:rsidP="00952623">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2.20851</w:t>
            </w:r>
          </w:p>
        </w:tc>
        <w:tc>
          <w:tcPr>
            <w:tcW w:w="1558" w:type="dxa"/>
          </w:tcPr>
          <w:p w:rsidR="00614E73" w:rsidRDefault="0059054F" w:rsidP="00952623">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0.01155</w:t>
            </w:r>
          </w:p>
        </w:tc>
        <w:tc>
          <w:tcPr>
            <w:tcW w:w="1559" w:type="dxa"/>
          </w:tcPr>
          <w:p w:rsidR="00614E73" w:rsidRDefault="0059054F" w:rsidP="00952623">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0.00521</w:t>
            </w:r>
          </w:p>
        </w:tc>
        <w:tc>
          <w:tcPr>
            <w:tcW w:w="1559" w:type="dxa"/>
          </w:tcPr>
          <w:p w:rsidR="00614E73" w:rsidRDefault="0059054F" w:rsidP="00952623">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0.01156</w:t>
            </w:r>
          </w:p>
        </w:tc>
      </w:tr>
      <w:tr w:rsidR="00614E73" w:rsidTr="004D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14E73" w:rsidRDefault="00614E73" w:rsidP="00952623">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3.</w:t>
            </w:r>
          </w:p>
        </w:tc>
        <w:tc>
          <w:tcPr>
            <w:tcW w:w="1321" w:type="dxa"/>
          </w:tcPr>
          <w:p w:rsidR="00614E73" w:rsidRDefault="0059054F" w:rsidP="00952623">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0.00008</w:t>
            </w:r>
          </w:p>
        </w:tc>
        <w:tc>
          <w:tcPr>
            <w:tcW w:w="1558" w:type="dxa"/>
          </w:tcPr>
          <w:p w:rsidR="00614E73" w:rsidRDefault="0059054F" w:rsidP="00952623">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2.20851</w:t>
            </w:r>
          </w:p>
        </w:tc>
        <w:tc>
          <w:tcPr>
            <w:tcW w:w="1558" w:type="dxa"/>
          </w:tcPr>
          <w:p w:rsidR="00614E73" w:rsidRDefault="0059054F" w:rsidP="00952623">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0.01155</w:t>
            </w:r>
          </w:p>
        </w:tc>
        <w:tc>
          <w:tcPr>
            <w:tcW w:w="1559" w:type="dxa"/>
          </w:tcPr>
          <w:p w:rsidR="00614E73" w:rsidRDefault="0059054F" w:rsidP="00952623">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0.00521</w:t>
            </w:r>
          </w:p>
        </w:tc>
        <w:tc>
          <w:tcPr>
            <w:tcW w:w="1559" w:type="dxa"/>
          </w:tcPr>
          <w:p w:rsidR="00614E73" w:rsidRDefault="0059054F" w:rsidP="00952623">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0.01156</w:t>
            </w:r>
          </w:p>
        </w:tc>
      </w:tr>
      <w:tr w:rsidR="00614E73" w:rsidTr="004D1DAA">
        <w:tc>
          <w:tcPr>
            <w:cnfStyle w:val="001000000000" w:firstRow="0" w:lastRow="0" w:firstColumn="1" w:lastColumn="0" w:oddVBand="0" w:evenVBand="0" w:oddHBand="0" w:evenHBand="0" w:firstRowFirstColumn="0" w:firstRowLastColumn="0" w:lastRowFirstColumn="0" w:lastRowLastColumn="0"/>
            <w:tcW w:w="1795" w:type="dxa"/>
          </w:tcPr>
          <w:p w:rsidR="00614E73" w:rsidRDefault="00614E73" w:rsidP="00952623">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4.</w:t>
            </w:r>
          </w:p>
        </w:tc>
        <w:tc>
          <w:tcPr>
            <w:tcW w:w="1321" w:type="dxa"/>
          </w:tcPr>
          <w:p w:rsidR="00614E73" w:rsidRDefault="0059054F" w:rsidP="00952623">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0.00008</w:t>
            </w:r>
          </w:p>
        </w:tc>
        <w:tc>
          <w:tcPr>
            <w:tcW w:w="1558" w:type="dxa"/>
          </w:tcPr>
          <w:p w:rsidR="00614E73" w:rsidRDefault="0059054F" w:rsidP="00952623">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2.20851</w:t>
            </w:r>
          </w:p>
        </w:tc>
        <w:tc>
          <w:tcPr>
            <w:tcW w:w="1558" w:type="dxa"/>
          </w:tcPr>
          <w:p w:rsidR="00614E73" w:rsidRDefault="0059054F" w:rsidP="00952623">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0.01155</w:t>
            </w:r>
          </w:p>
        </w:tc>
        <w:tc>
          <w:tcPr>
            <w:tcW w:w="1559" w:type="dxa"/>
          </w:tcPr>
          <w:p w:rsidR="00614E73" w:rsidRDefault="0059054F" w:rsidP="00952623">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0.00521</w:t>
            </w:r>
          </w:p>
        </w:tc>
        <w:tc>
          <w:tcPr>
            <w:tcW w:w="1559" w:type="dxa"/>
          </w:tcPr>
          <w:p w:rsidR="00614E73" w:rsidRDefault="0059054F" w:rsidP="00952623">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0.01156</w:t>
            </w:r>
          </w:p>
        </w:tc>
      </w:tr>
      <w:tr w:rsidR="00614E73" w:rsidTr="004D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14E73" w:rsidRDefault="00614E73" w:rsidP="00952623">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5.</w:t>
            </w:r>
          </w:p>
        </w:tc>
        <w:tc>
          <w:tcPr>
            <w:tcW w:w="1321" w:type="dxa"/>
          </w:tcPr>
          <w:p w:rsidR="00614E73" w:rsidRDefault="0059054F" w:rsidP="00952623">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0.00008</w:t>
            </w:r>
          </w:p>
        </w:tc>
        <w:tc>
          <w:tcPr>
            <w:tcW w:w="1558" w:type="dxa"/>
          </w:tcPr>
          <w:p w:rsidR="00614E73" w:rsidRDefault="0059054F" w:rsidP="00952623">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2.20851</w:t>
            </w:r>
          </w:p>
        </w:tc>
        <w:tc>
          <w:tcPr>
            <w:tcW w:w="1558" w:type="dxa"/>
          </w:tcPr>
          <w:p w:rsidR="00614E73" w:rsidRDefault="0059054F" w:rsidP="00952623">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0.01155</w:t>
            </w:r>
          </w:p>
        </w:tc>
        <w:tc>
          <w:tcPr>
            <w:tcW w:w="1559" w:type="dxa"/>
          </w:tcPr>
          <w:p w:rsidR="00614E73" w:rsidRDefault="0059054F" w:rsidP="00952623">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0.00521</w:t>
            </w:r>
          </w:p>
        </w:tc>
        <w:tc>
          <w:tcPr>
            <w:tcW w:w="1559" w:type="dxa"/>
          </w:tcPr>
          <w:p w:rsidR="00614E73" w:rsidRDefault="0059054F" w:rsidP="00952623">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0.01156</w:t>
            </w:r>
          </w:p>
        </w:tc>
      </w:tr>
      <w:tr w:rsidR="00614E73" w:rsidTr="004D1DAA">
        <w:tc>
          <w:tcPr>
            <w:cnfStyle w:val="001000000000" w:firstRow="0" w:lastRow="0" w:firstColumn="1" w:lastColumn="0" w:oddVBand="0" w:evenVBand="0" w:oddHBand="0" w:evenHBand="0" w:firstRowFirstColumn="0" w:firstRowLastColumn="0" w:lastRowFirstColumn="0" w:lastRowLastColumn="0"/>
            <w:tcW w:w="1795" w:type="dxa"/>
          </w:tcPr>
          <w:p w:rsidR="00614E73" w:rsidRDefault="00614E73" w:rsidP="00952623">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6.</w:t>
            </w:r>
          </w:p>
        </w:tc>
        <w:tc>
          <w:tcPr>
            <w:tcW w:w="1321" w:type="dxa"/>
          </w:tcPr>
          <w:p w:rsidR="00614E73" w:rsidRDefault="0059054F" w:rsidP="00952623">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0.00008</w:t>
            </w:r>
          </w:p>
        </w:tc>
        <w:tc>
          <w:tcPr>
            <w:tcW w:w="1558" w:type="dxa"/>
          </w:tcPr>
          <w:p w:rsidR="00614E73" w:rsidRDefault="0059054F" w:rsidP="00952623">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2.20851</w:t>
            </w:r>
          </w:p>
        </w:tc>
        <w:tc>
          <w:tcPr>
            <w:tcW w:w="1558" w:type="dxa"/>
          </w:tcPr>
          <w:p w:rsidR="00614E73" w:rsidRDefault="0059054F" w:rsidP="00952623">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0.01155</w:t>
            </w:r>
          </w:p>
        </w:tc>
        <w:tc>
          <w:tcPr>
            <w:tcW w:w="1559" w:type="dxa"/>
          </w:tcPr>
          <w:p w:rsidR="00614E73" w:rsidRDefault="0059054F" w:rsidP="00952623">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0.00521</w:t>
            </w:r>
          </w:p>
        </w:tc>
        <w:tc>
          <w:tcPr>
            <w:tcW w:w="1559" w:type="dxa"/>
          </w:tcPr>
          <w:p w:rsidR="00614E73" w:rsidRDefault="0059054F" w:rsidP="00952623">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0.01156</w:t>
            </w:r>
          </w:p>
        </w:tc>
      </w:tr>
      <w:tr w:rsidR="00614E73" w:rsidTr="004D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14E73" w:rsidRDefault="00614E73" w:rsidP="00952623">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7.</w:t>
            </w:r>
          </w:p>
        </w:tc>
        <w:tc>
          <w:tcPr>
            <w:tcW w:w="1321" w:type="dxa"/>
          </w:tcPr>
          <w:p w:rsidR="00614E73" w:rsidRDefault="0059054F" w:rsidP="00952623">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0.00008</w:t>
            </w:r>
          </w:p>
        </w:tc>
        <w:tc>
          <w:tcPr>
            <w:tcW w:w="1558" w:type="dxa"/>
          </w:tcPr>
          <w:p w:rsidR="00614E73" w:rsidRDefault="0059054F" w:rsidP="00952623">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2.20851</w:t>
            </w:r>
          </w:p>
        </w:tc>
        <w:tc>
          <w:tcPr>
            <w:tcW w:w="1558" w:type="dxa"/>
          </w:tcPr>
          <w:p w:rsidR="00614E73" w:rsidRDefault="0059054F" w:rsidP="00952623">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0.01155</w:t>
            </w:r>
          </w:p>
        </w:tc>
        <w:tc>
          <w:tcPr>
            <w:tcW w:w="1559" w:type="dxa"/>
          </w:tcPr>
          <w:p w:rsidR="00614E73" w:rsidRDefault="0059054F" w:rsidP="00952623">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0.00521</w:t>
            </w:r>
          </w:p>
        </w:tc>
        <w:tc>
          <w:tcPr>
            <w:tcW w:w="1559" w:type="dxa"/>
          </w:tcPr>
          <w:p w:rsidR="00614E73" w:rsidRDefault="0059054F" w:rsidP="00952623">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0.01156</w:t>
            </w:r>
          </w:p>
        </w:tc>
      </w:tr>
      <w:tr w:rsidR="00614E73" w:rsidTr="004D1DAA">
        <w:tc>
          <w:tcPr>
            <w:cnfStyle w:val="001000000000" w:firstRow="0" w:lastRow="0" w:firstColumn="1" w:lastColumn="0" w:oddVBand="0" w:evenVBand="0" w:oddHBand="0" w:evenHBand="0" w:firstRowFirstColumn="0" w:firstRowLastColumn="0" w:lastRowFirstColumn="0" w:lastRowLastColumn="0"/>
            <w:tcW w:w="1795" w:type="dxa"/>
          </w:tcPr>
          <w:p w:rsidR="00614E73" w:rsidRDefault="00614E73" w:rsidP="00952623">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8.</w:t>
            </w:r>
          </w:p>
        </w:tc>
        <w:tc>
          <w:tcPr>
            <w:tcW w:w="1321" w:type="dxa"/>
          </w:tcPr>
          <w:p w:rsidR="00614E73" w:rsidRDefault="0059054F" w:rsidP="00952623">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0.00008</w:t>
            </w:r>
          </w:p>
        </w:tc>
        <w:tc>
          <w:tcPr>
            <w:tcW w:w="1558" w:type="dxa"/>
          </w:tcPr>
          <w:p w:rsidR="00614E73" w:rsidRDefault="0059054F" w:rsidP="00952623">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2.20851</w:t>
            </w:r>
          </w:p>
        </w:tc>
        <w:tc>
          <w:tcPr>
            <w:tcW w:w="1558" w:type="dxa"/>
          </w:tcPr>
          <w:p w:rsidR="00614E73" w:rsidRDefault="0059054F" w:rsidP="00952623">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0.01155</w:t>
            </w:r>
          </w:p>
        </w:tc>
        <w:tc>
          <w:tcPr>
            <w:tcW w:w="1559" w:type="dxa"/>
          </w:tcPr>
          <w:p w:rsidR="00614E73" w:rsidRDefault="0059054F" w:rsidP="00952623">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0.00521</w:t>
            </w:r>
          </w:p>
        </w:tc>
        <w:tc>
          <w:tcPr>
            <w:tcW w:w="1559" w:type="dxa"/>
          </w:tcPr>
          <w:p w:rsidR="00614E73" w:rsidRDefault="0059054F" w:rsidP="00952623">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0.01156</w:t>
            </w:r>
          </w:p>
        </w:tc>
      </w:tr>
      <w:tr w:rsidR="00614E73" w:rsidTr="004D1D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95" w:type="dxa"/>
          </w:tcPr>
          <w:p w:rsidR="00614E73" w:rsidRDefault="00614E73" w:rsidP="00952623">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9.</w:t>
            </w:r>
          </w:p>
        </w:tc>
        <w:tc>
          <w:tcPr>
            <w:tcW w:w="1321" w:type="dxa"/>
          </w:tcPr>
          <w:p w:rsidR="00614E73" w:rsidRDefault="0059054F" w:rsidP="00952623">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0.00008</w:t>
            </w:r>
          </w:p>
        </w:tc>
        <w:tc>
          <w:tcPr>
            <w:tcW w:w="1558" w:type="dxa"/>
          </w:tcPr>
          <w:p w:rsidR="00614E73" w:rsidRDefault="0059054F" w:rsidP="00952623">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2.20851</w:t>
            </w:r>
          </w:p>
        </w:tc>
        <w:tc>
          <w:tcPr>
            <w:tcW w:w="1558" w:type="dxa"/>
          </w:tcPr>
          <w:p w:rsidR="00614E73" w:rsidRDefault="0059054F" w:rsidP="00952623">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0.01155</w:t>
            </w:r>
          </w:p>
        </w:tc>
        <w:tc>
          <w:tcPr>
            <w:tcW w:w="1559" w:type="dxa"/>
          </w:tcPr>
          <w:p w:rsidR="00614E73" w:rsidRDefault="0059054F" w:rsidP="00952623">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0.00521</w:t>
            </w:r>
          </w:p>
        </w:tc>
        <w:tc>
          <w:tcPr>
            <w:tcW w:w="1559" w:type="dxa"/>
          </w:tcPr>
          <w:p w:rsidR="00614E73" w:rsidRDefault="0059054F" w:rsidP="00952623">
            <w:pPr>
              <w:autoSpaceDE w:val="0"/>
              <w:autoSpaceDN w:val="0"/>
              <w:adjustRightInd w:val="0"/>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0.01156</w:t>
            </w:r>
          </w:p>
        </w:tc>
      </w:tr>
      <w:tr w:rsidR="00614E73" w:rsidTr="004D1DAA">
        <w:tc>
          <w:tcPr>
            <w:cnfStyle w:val="001000000000" w:firstRow="0" w:lastRow="0" w:firstColumn="1" w:lastColumn="0" w:oddVBand="0" w:evenVBand="0" w:oddHBand="0" w:evenHBand="0" w:firstRowFirstColumn="0" w:firstRowLastColumn="0" w:lastRowFirstColumn="0" w:lastRowLastColumn="0"/>
            <w:tcW w:w="1795" w:type="dxa"/>
          </w:tcPr>
          <w:p w:rsidR="00614E73" w:rsidRDefault="00614E73" w:rsidP="00952623">
            <w:pPr>
              <w:autoSpaceDE w:val="0"/>
              <w:autoSpaceDN w:val="0"/>
              <w:adjustRightInd w:val="0"/>
              <w:spacing w:line="480" w:lineRule="auto"/>
              <w:rPr>
                <w:rFonts w:ascii="Times New Roman" w:hAnsi="Times New Roman" w:cs="Times New Roman"/>
                <w:sz w:val="24"/>
                <w:szCs w:val="24"/>
              </w:rPr>
            </w:pPr>
            <w:r>
              <w:rPr>
                <w:rFonts w:ascii="Times New Roman" w:hAnsi="Times New Roman" w:cs="Times New Roman"/>
                <w:sz w:val="24"/>
                <w:szCs w:val="24"/>
              </w:rPr>
              <w:t>10.</w:t>
            </w:r>
          </w:p>
        </w:tc>
        <w:tc>
          <w:tcPr>
            <w:tcW w:w="1321" w:type="dxa"/>
          </w:tcPr>
          <w:p w:rsidR="00614E73" w:rsidRDefault="0059054F" w:rsidP="00952623">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0.00008</w:t>
            </w:r>
          </w:p>
        </w:tc>
        <w:tc>
          <w:tcPr>
            <w:tcW w:w="1558" w:type="dxa"/>
          </w:tcPr>
          <w:p w:rsidR="00614E73" w:rsidRDefault="0059054F" w:rsidP="00952623">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2.20851</w:t>
            </w:r>
          </w:p>
        </w:tc>
        <w:tc>
          <w:tcPr>
            <w:tcW w:w="1558" w:type="dxa"/>
          </w:tcPr>
          <w:p w:rsidR="00614E73" w:rsidRDefault="0059054F" w:rsidP="00952623">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0.01155</w:t>
            </w:r>
          </w:p>
        </w:tc>
        <w:tc>
          <w:tcPr>
            <w:tcW w:w="1559" w:type="dxa"/>
          </w:tcPr>
          <w:p w:rsidR="00614E73" w:rsidRDefault="0059054F" w:rsidP="00952623">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0.00521</w:t>
            </w:r>
          </w:p>
        </w:tc>
        <w:tc>
          <w:tcPr>
            <w:tcW w:w="1559" w:type="dxa"/>
          </w:tcPr>
          <w:p w:rsidR="00614E73" w:rsidRDefault="0059054F" w:rsidP="00952623">
            <w:pPr>
              <w:autoSpaceDE w:val="0"/>
              <w:autoSpaceDN w:val="0"/>
              <w:adjustRightInd w:val="0"/>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0.01156</w:t>
            </w:r>
          </w:p>
        </w:tc>
      </w:tr>
    </w:tbl>
    <w:p w:rsidR="00B8362C" w:rsidRDefault="00B8362C" w:rsidP="00952623">
      <w:pPr>
        <w:autoSpaceDE w:val="0"/>
        <w:autoSpaceDN w:val="0"/>
        <w:adjustRightInd w:val="0"/>
        <w:spacing w:after="0" w:line="480" w:lineRule="auto"/>
        <w:rPr>
          <w:rFonts w:ascii="Times New Roman" w:hAnsi="Times New Roman" w:cs="Times New Roman"/>
          <w:sz w:val="24"/>
          <w:szCs w:val="24"/>
        </w:rPr>
      </w:pPr>
    </w:p>
    <w:p w:rsidR="00D1677B" w:rsidRPr="00D1677B" w:rsidRDefault="00D1677B" w:rsidP="00952623">
      <w:pPr>
        <w:spacing w:line="480" w:lineRule="auto"/>
        <w:rPr>
          <w:b/>
        </w:rPr>
      </w:pPr>
      <w:bookmarkStart w:id="0" w:name="_GoBack"/>
      <w:bookmarkEnd w:id="0"/>
    </w:p>
    <w:sectPr w:rsidR="00D1677B" w:rsidRPr="00D167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99F"/>
    <w:rsid w:val="00000AA9"/>
    <w:rsid w:val="000309F5"/>
    <w:rsid w:val="000414B7"/>
    <w:rsid w:val="00051D8E"/>
    <w:rsid w:val="00072708"/>
    <w:rsid w:val="000C1E7D"/>
    <w:rsid w:val="00143487"/>
    <w:rsid w:val="001656C4"/>
    <w:rsid w:val="001B6E29"/>
    <w:rsid w:val="00234E8D"/>
    <w:rsid w:val="00295C8A"/>
    <w:rsid w:val="00296E79"/>
    <w:rsid w:val="002B1F71"/>
    <w:rsid w:val="003010F2"/>
    <w:rsid w:val="00314AE3"/>
    <w:rsid w:val="0032611F"/>
    <w:rsid w:val="00331EF2"/>
    <w:rsid w:val="003713E1"/>
    <w:rsid w:val="00381FC8"/>
    <w:rsid w:val="00401A59"/>
    <w:rsid w:val="00490661"/>
    <w:rsid w:val="004949FA"/>
    <w:rsid w:val="004A52F6"/>
    <w:rsid w:val="004C1C1A"/>
    <w:rsid w:val="004D1DAA"/>
    <w:rsid w:val="004D3210"/>
    <w:rsid w:val="004F4E8F"/>
    <w:rsid w:val="005015D7"/>
    <w:rsid w:val="00547300"/>
    <w:rsid w:val="0059054F"/>
    <w:rsid w:val="006038AF"/>
    <w:rsid w:val="00614E73"/>
    <w:rsid w:val="00656160"/>
    <w:rsid w:val="006908E5"/>
    <w:rsid w:val="006B3005"/>
    <w:rsid w:val="00700EFC"/>
    <w:rsid w:val="00795F9F"/>
    <w:rsid w:val="007A3ED6"/>
    <w:rsid w:val="007C6601"/>
    <w:rsid w:val="007E37A0"/>
    <w:rsid w:val="00827B20"/>
    <w:rsid w:val="00851D73"/>
    <w:rsid w:val="008B4DFE"/>
    <w:rsid w:val="008B4EAD"/>
    <w:rsid w:val="00917C9E"/>
    <w:rsid w:val="0093671F"/>
    <w:rsid w:val="00952623"/>
    <w:rsid w:val="009F31CB"/>
    <w:rsid w:val="00A207C5"/>
    <w:rsid w:val="00A51717"/>
    <w:rsid w:val="00AC4838"/>
    <w:rsid w:val="00B00A8B"/>
    <w:rsid w:val="00B12957"/>
    <w:rsid w:val="00B3745A"/>
    <w:rsid w:val="00B8362C"/>
    <w:rsid w:val="00BA099F"/>
    <w:rsid w:val="00BF3FD7"/>
    <w:rsid w:val="00C92F12"/>
    <w:rsid w:val="00CA3EAA"/>
    <w:rsid w:val="00CC300A"/>
    <w:rsid w:val="00CF4D12"/>
    <w:rsid w:val="00D1677B"/>
    <w:rsid w:val="00D2299F"/>
    <w:rsid w:val="00D87DC1"/>
    <w:rsid w:val="00D90593"/>
    <w:rsid w:val="00DB1B11"/>
    <w:rsid w:val="00E12FD6"/>
    <w:rsid w:val="00E16F29"/>
    <w:rsid w:val="00E239C0"/>
    <w:rsid w:val="00E336FF"/>
    <w:rsid w:val="00E64B8E"/>
    <w:rsid w:val="00E6651D"/>
    <w:rsid w:val="00E830DF"/>
    <w:rsid w:val="00EE1646"/>
    <w:rsid w:val="00F103A3"/>
    <w:rsid w:val="00F11A69"/>
    <w:rsid w:val="00F20D62"/>
    <w:rsid w:val="00F55B00"/>
    <w:rsid w:val="00F671CE"/>
    <w:rsid w:val="00FA1638"/>
    <w:rsid w:val="00FA79A9"/>
    <w:rsid w:val="00FB6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AE4C4"/>
  <w15:chartTrackingRefBased/>
  <w15:docId w15:val="{EA835F47-3AFD-4B86-B1A5-5864BFABC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15D7"/>
    <w:rPr>
      <w:color w:val="0563C1" w:themeColor="hyperlink"/>
      <w:u w:val="single"/>
    </w:rPr>
  </w:style>
  <w:style w:type="table" w:styleId="TableGrid">
    <w:name w:val="Table Grid"/>
    <w:basedOn w:val="TableNormal"/>
    <w:uiPriority w:val="39"/>
    <w:rsid w:val="00614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4D1DA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Bibliography">
    <w:name w:val="Bibliography"/>
    <w:basedOn w:val="Normal"/>
    <w:next w:val="Normal"/>
    <w:uiPriority w:val="37"/>
    <w:unhideWhenUsed/>
    <w:rsid w:val="007E37A0"/>
    <w:pPr>
      <w:tabs>
        <w:tab w:val="left" w:pos="504"/>
      </w:tabs>
      <w:spacing w:after="240" w:line="240" w:lineRule="auto"/>
      <w:ind w:left="504" w:hanging="5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950DF0-D588-4D9B-ADA4-B91A64D18B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17</Pages>
  <Words>8842</Words>
  <Characters>50404</Characters>
  <Application>Microsoft Office Word</Application>
  <DocSecurity>0</DocSecurity>
  <Lines>420</Lines>
  <Paragraphs>118</Paragraphs>
  <ScaleCrop>false</ScaleCrop>
  <HeadingPairs>
    <vt:vector size="2" baseType="variant">
      <vt:variant>
        <vt:lpstr>Title</vt:lpstr>
      </vt:variant>
      <vt:variant>
        <vt:i4>1</vt:i4>
      </vt:variant>
    </vt:vector>
  </HeadingPairs>
  <TitlesOfParts>
    <vt:vector size="1" baseType="lpstr">
      <vt:lpstr/>
    </vt:vector>
  </TitlesOfParts>
  <Company>Washington University</Company>
  <LinksUpToDate>false</LinksUpToDate>
  <CharactersWithSpaces>59128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 Liu</dc:creator>
  <cp:keywords/>
  <dc:description/>
  <cp:lastModifiedBy>Bill Liu</cp:lastModifiedBy>
  <cp:revision>8</cp:revision>
  <dcterms:created xsi:type="dcterms:W3CDTF">2018-09-26T03:41:00Z</dcterms:created>
  <dcterms:modified xsi:type="dcterms:W3CDTF">2018-09-28T08:34:00Z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zotero-version="5.0.55"&gt;&lt;session id="B7oj4ymA"/&gt;&lt;style id="http://www.zotero.org/styles/american-medical-association" hasBibliography="1" bibliographyStyleHasBeenSet="1"/&gt;&lt;prefs&gt;&lt;pref name="fieldType" value="Field"/&gt;&lt;pref name="auto</vt:lpwstr>
  </property>
  <property fmtid="{D5CDD505-2E9C-101B-9397-08002B2CF9AE}" pid="3" name="ZOTERO_PREF_2">
    <vt:lpwstr>maticJournalAbbreviations" value="true"/&gt;&lt;/prefs&gt;&lt;/data&gt;</vt:lpwstr>
  </property>
</Properties>
</file>