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df" ContentType="application/pdf"/>
  <Override PartName="/word/media/rId63.pdf" ContentType="application/pdf"/>
  <Override PartName="/word/media/rId59.pdf" ContentType="application/pdf"/>
  <Override PartName="/word/media/rId68.pdf" ContentType="application/pdf"/>
  <Override PartName="/word/media/rId20.pdf" ContentType="application/pdf"/>
  <Override PartName="/word/media/rId72.pdf" ContentType="application/pdf"/>
  <Override PartName="/word/media/rId51.pdf" ContentType="application/pdf"/>
  <Override PartName="/word/media/rId76.pdf" ContentType="application/pdf"/>
  <Override PartName="/word/media/rId80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SkyBridge Compass: A Crypto-Agile Peer-to-Peer Remote Desktop and File Transfer System with Auditable Downgrade Policy and Post-Quantum Readiness</w:t>
      </w:r>
    </w:p>
    <w:p>
      <w:pPr>
        <w:pStyle w:val="Author"/>
      </w:pPr>
      <w:r>
        <w:t xml:space="preserve">Zi’ang Li</w:t>
      </w:r>
    </w:p>
    <w:p>
      <w:pPr>
        <w:pStyle w:val="FirstParagraph"/>
      </w:pPr>
      <w:r>
        <w:t xml:space="preserve">Peer-to-peer (P2P) remote desktop and file transfer systems must</w:t>
      </w:r>
      <w:r>
        <w:t xml:space="preserve"> </w:t>
      </w:r>
      <w:r>
        <w:t xml:space="preserve">establish secure sessions under adversarial network conditions, device</w:t>
      </w:r>
      <w:r>
        <w:t xml:space="preserve"> </w:t>
      </w:r>
      <w:r>
        <w:t xml:space="preserve">churn, and multi-year lifecycles. These systems face a practical</w:t>
      </w:r>
      <w:r>
        <w:t xml:space="preserve"> </w:t>
      </w:r>
      <w:r>
        <w:t xml:space="preserve">tension: users demand</w:t>
      </w:r>
      <w:r>
        <w:t xml:space="preserve"> </w:t>
      </w:r>
      <w:r>
        <w:t xml:space="preserve">“it just works”</w:t>
      </w:r>
      <w:r>
        <w:t xml:space="preserve"> </w:t>
      </w:r>
      <w:r>
        <w:t xml:space="preserve">pairing across heterogeneous</w:t>
      </w:r>
      <w:r>
        <w:t xml:space="preserve"> </w:t>
      </w:r>
      <w:r>
        <w:t xml:space="preserve">stacks, while defenders require that cryptographic negotiation remains</w:t>
      </w:r>
      <w:r>
        <w:t xml:space="preserve"> </w:t>
      </w:r>
      <w:r>
        <w:t xml:space="preserve">robust against downgrade and implementation-level failure modes.</w:t>
      </w:r>
      <w:r>
        <w:t xml:space="preserve"> </w:t>
      </w:r>
      <w:r>
        <w:t xml:space="preserve">Post-quantum cryptography (PQC) increases this tension. Larger messages,</w:t>
      </w:r>
      <w:r>
        <w:t xml:space="preserve"> </w:t>
      </w:r>
      <w:r>
        <w:t xml:space="preserve">higher computational cost, and uneven platform support make fallback</w:t>
      </w:r>
      <w:r>
        <w:t xml:space="preserve"> </w:t>
      </w:r>
      <w:r>
        <w:t xml:space="preserve">tempting—yet fallback is exactly where silent downgrade and</w:t>
      </w:r>
      <w:r>
        <w:t xml:space="preserve"> </w:t>
      </w:r>
      <w:r>
        <w:t xml:space="preserve">unverifiable behavior tend to hide.</w:t>
      </w:r>
    </w:p>
    <w:p>
      <w:pPr>
        <w:pStyle w:val="BodyText"/>
      </w:pPr>
      <w:r>
        <w:t xml:space="preserve">Existing secure-channel designs and frameworks provide mature</w:t>
      </w:r>
      <w:r>
        <w:t xml:space="preserve"> </w:t>
      </w:r>
      <w:r>
        <w:t xml:space="preserve">cryptographic building blocks, but they do not, by default, solve the</w:t>
      </w:r>
      <w:r>
        <w:t xml:space="preserve"> </w:t>
      </w:r>
      <w:r>
        <w:t xml:space="preserve">migration problem an implementer actually faces: (i) selecting among</w:t>
      </w:r>
      <w:r>
        <w:t xml:space="preserve"> </w:t>
      </w:r>
      <w:r>
        <w:t xml:space="preserve">classic/PQC/hybrid suites across platform strata, (ii) ensuring that</w:t>
      </w:r>
      <w:r>
        <w:t xml:space="preserve"> </w:t>
      </w:r>
      <w:r>
        <w:t xml:space="preserve">policy (e.g.,</w:t>
      </w:r>
      <w:r>
        <w:t xml:space="preserve"> </w:t>
      </w:r>
      <w:r>
        <w:t xml:space="preserve">“require PQC”</w:t>
      </w:r>
      <w:r>
        <w:t xml:space="preserve">) is enforced at the entry points where</w:t>
      </w:r>
      <w:r>
        <w:t xml:space="preserve"> </w:t>
      </w:r>
      <w:r>
        <w:t xml:space="preserve">callers cannot accidentally violate it, (iii) targeting deterministic</w:t>
      </w:r>
      <w:r>
        <w:t xml:space="preserve"> </w:t>
      </w:r>
      <w:r>
        <w:t xml:space="preserve">failure semantics under timeouts, reorder/duplication, and malformed</w:t>
      </w:r>
      <w:r>
        <w:t xml:space="preserve"> </w:t>
      </w:r>
      <w:r>
        <w:t xml:space="preserve">inputs, and (iv) emitting security-relevant telemetry that can be</w:t>
      </w:r>
      <w:r>
        <w:t xml:space="preserve"> </w:t>
      </w:r>
      <w:r>
        <w:t xml:space="preserve">audited without turning the system into a logging minefield. In</w:t>
      </w:r>
      <w:r>
        <w:t xml:space="preserve"> </w:t>
      </w:r>
      <w:r>
        <w:t xml:space="preserve">practice, many systems either hard-code a single suite, or allow</w:t>
      </w:r>
      <w:r>
        <w:t xml:space="preserve"> </w:t>
      </w:r>
      <w:r>
        <w:t xml:space="preserve">“compatibility”</w:t>
      </w:r>
      <w:r>
        <w:t xml:space="preserve"> </w:t>
      </w:r>
      <w:r>
        <w:t xml:space="preserve">to creep into negotiation in ways that are hard to</w:t>
      </w:r>
      <w:r>
        <w:t xml:space="preserve"> </w:t>
      </w:r>
      <w:r>
        <w:t xml:space="preserve">reason about and harder to verify.</w:t>
      </w:r>
    </w:p>
    <w:p>
      <w:pPr>
        <w:pStyle w:val="BodyText"/>
      </w:pPr>
      <w:r>
        <w:t xml:space="preserve">This paper addresses these gaps with SkyBridge Compass, a crypto-agile</w:t>
      </w:r>
      <w:r>
        <w:t xml:space="preserve"> </w:t>
      </w:r>
      <w:r>
        <w:t xml:space="preserve">P2P system designed for explicit PQC migration and auditability, with</w:t>
      </w:r>
      <w:r>
        <w:t xml:space="preserve"> </w:t>
      </w:r>
      <w:r>
        <w:t xml:space="preserve">Apple platforms as a deployment instance. The core idea is to treat</w:t>
      </w:r>
      <w:r>
        <w:t xml:space="preserve"> </w:t>
      </w:r>
      <w:r>
        <w:t xml:space="preserve">crypto agility as a layered</w:t>
      </w:r>
      <w:r>
        <w:t xml:space="preserve"> </w:t>
      </w:r>
      <w:r>
        <w:t xml:space="preserve">contract: negotiated suites define the protocol surface; provider</w:t>
      </w:r>
      <w:r>
        <w:t xml:space="preserve"> </w:t>
      </w:r>
      <w:r>
        <w:t xml:space="preserve">backends implement suites using platform-native or portable</w:t>
      </w:r>
      <w:r>
        <w:t xml:space="preserve"> </w:t>
      </w:r>
      <w:r>
        <w:t xml:space="preserve">cryptography; and a policy layer governs fallback and produces</w:t>
      </w:r>
      <w:r>
        <w:t xml:space="preserve"> </w:t>
      </w:r>
      <w:r>
        <w:t xml:space="preserve">structured evidence when (and only when) downgrade occurs. We complement</w:t>
      </w:r>
      <w:r>
        <w:t xml:space="preserve"> </w:t>
      </w:r>
      <w:r>
        <w:t xml:space="preserve">this design with an actor-isolated handshake driver that enforces</w:t>
      </w:r>
      <w:r>
        <w:t xml:space="preserve"> </w:t>
      </w:r>
      <w:r>
        <w:t xml:space="preserve">one-shot completion, timeouts, and sensitive-material zeroization,</w:t>
      </w:r>
      <w:r>
        <w:t xml:space="preserve"> </w:t>
      </w:r>
      <w:r>
        <w:t xml:space="preserve">yielding deterministic outcomes under the modeled transport faults.</w:t>
      </w:r>
    </w:p>
    <w:p>
      <w:pPr>
        <w:pStyle w:val="BodyText"/>
      </w:pPr>
      <w:r>
        <w:rPr>
          <w:b/>
          <w:bCs/>
        </w:rPr>
        <w:t xml:space="preserve">Security Guarantees (Checklist).</w:t>
      </w:r>
      <w:r>
        <w:t xml:space="preserve"> </w:t>
      </w:r>
      <w:r>
        <w:t xml:space="preserve">To reduce ambiguity in reviewer-facing claims, we state the v1 guarantees</w:t>
      </w:r>
      <w:r>
        <w:t xml:space="preserve"> </w:t>
      </w:r>
      <w:r>
        <w:t xml:space="preserve">as a checklist of</w:t>
      </w:r>
      <w:r>
        <w:t xml:space="preserve"> </w:t>
      </w:r>
      <w:r>
        <w:rPr>
          <w:i/>
          <w:iCs/>
        </w:rPr>
        <w:t xml:space="preserve">verifiable</w:t>
      </w:r>
      <w:r>
        <w:t xml:space="preserve"> </w:t>
      </w:r>
      <w:r>
        <w:t xml:space="preserve">properties under the threat model in</w:t>
      </w:r>
      <w:r>
        <w:t xml:space="preserve"> </w:t>
      </w:r>
      <w:r>
        <w:t xml:space="preserve">Section </w:t>
      </w:r>
      <w:hyperlink w:anchor="sec:security-model">
        <w:r>
          <w:rPr>
            <w:rStyle w:val="Hyperlink"/>
          </w:rPr>
          <w:t xml:space="preserve">4</w:t>
        </w:r>
      </w:hyperlink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Negotiation integrity:</w:t>
      </w:r>
      <w:r>
        <w:t xml:space="preserve"> </w:t>
      </w:r>
      <w:r>
        <w:t xml:space="preserve">the Responder selects only a suite</w:t>
      </w:r>
      <w:r>
        <w:t xml:space="preserve"> </w:t>
      </w:r>
      <w:r>
        <w:t xml:space="preserve">offered by the Initiator and with a matching key share; unknown suite</w:t>
      </w:r>
      <w:r>
        <w:t xml:space="preserve"> </w:t>
      </w:r>
      <w:r>
        <w:t xml:space="preserve">IDs are rejected if they appear in</w:t>
      </w:r>
      <w:r>
        <w:t xml:space="preserve"> </w:t>
      </w:r>
      <w:r>
        <w:rPr>
          <w:rStyle w:val="VerbatimChar"/>
        </w:rPr>
        <w:t xml:space="preserve">keyShares[]</w:t>
      </w:r>
      <w:r>
        <w:t xml:space="preserve"> </w:t>
      </w:r>
      <w:r>
        <w:t xml:space="preserve">or as</w:t>
      </w:r>
      <w:r>
        <w:t xml:space="preserve"> </w:t>
      </w:r>
      <w:r>
        <w:rPr>
          <w:rStyle w:val="VerbatimChar"/>
        </w:rPr>
        <w:t xml:space="preserve">selectedSuite</w:t>
      </w:r>
      <w:r>
        <w:t xml:space="preserve">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Fig. </w:t>
      </w:r>
      <w:hyperlink w:anchor="fig:handshake-sequence">
        <w:r>
          <w:rPr>
            <w:rStyle w:val="Hyperlink"/>
          </w:rPr>
          <w:t xml:space="preserve">1</w:t>
        </w:r>
      </w:hyperlink>
      <w:r>
        <w:t xml:space="preserve">;</w:t>
      </w:r>
      <w:r>
        <w:t xml:space="preserve"> </w:t>
      </w:r>
      <w:r>
        <w:t xml:space="preserve">Table </w:t>
      </w:r>
      <w:hyperlink w:anchor="tab:security-contract">
        <w:r>
          <w:rPr>
            <w:rStyle w:val="Hyperlink"/>
          </w:rPr>
          <w:t xml:space="preserve">[tab:security-contract]</w:t>
        </w:r>
      </w:hyperlink>
      <w:r>
        <w:t xml:space="preserve">;</w:t>
      </w:r>
      <w:r>
        <w:t xml:space="preserve"> </w:t>
      </w:r>
      <w:r>
        <w:rPr>
          <w:rStyle w:val="VerbatimChar"/>
        </w:rPr>
        <w:t xml:space="preserve">HandshakeDriverTests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Transcript binding:</w:t>
      </w:r>
      <w:r>
        <w:t xml:space="preserve"> </w:t>
      </w:r>
      <w:r>
        <w:rPr>
          <w:rStyle w:val="VerbatimChar"/>
        </w:rPr>
        <w:t xml:space="preserve">sigB</w:t>
      </w:r>
      <w:r>
        <w:t xml:space="preserve"> </w:t>
      </w:r>
      <w:r>
        <w:t xml:space="preserve">commits to MessageA and</w:t>
      </w:r>
      <w:r>
        <w:t xml:space="preserve"> </w:t>
      </w:r>
      <w:r>
        <w:t xml:space="preserve">the chosen suite (and policy), so any tampering of</w:t>
      </w:r>
      <w:r>
        <w:t xml:space="preserve"> </w:t>
      </w:r>
      <w:r>
        <w:rPr>
          <w:rStyle w:val="VerbatimChar"/>
        </w:rPr>
        <w:t xml:space="preserve">supportedSuites[]</w:t>
      </w:r>
      <w:r>
        <w:t xml:space="preserve">,</w:t>
      </w:r>
      <w:r>
        <w:t xml:space="preserve"> </w:t>
      </w:r>
      <w:r>
        <w:rPr>
          <w:rStyle w:val="VerbatimChar"/>
        </w:rPr>
        <w:t xml:space="preserve">keyShares[]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fails verification.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Table </w:t>
      </w:r>
      <w:hyperlink w:anchor="tab:security-contract">
        <w:r>
          <w:rPr>
            <w:rStyle w:val="Hyperlink"/>
          </w:rPr>
          <w:t xml:space="preserve">[tab:security-contract]</w:t>
        </w:r>
      </w:hyperlink>
      <w:r>
        <w:t xml:space="preserve">;</w:t>
      </w:r>
      <w:r>
        <w:t xml:space="preserve"> </w:t>
      </w:r>
      <w:r>
        <w:rPr>
          <w:rStyle w:val="VerbatimChar"/>
        </w:rPr>
        <w:t xml:space="preserve">TranscriptIntegrityPropertyTests</w:t>
      </w:r>
      <w:r>
        <w:t xml:space="preserve">;</w:t>
      </w:r>
      <w:r>
        <w:t xml:space="preserve"> </w:t>
      </w:r>
      <w:r>
        <w:rPr>
          <w:rStyle w:val="VerbatimChar"/>
        </w:rPr>
        <w:t xml:space="preserve">ProtocolSignatureRegressionTests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Downgrade resistance (policy-defined):</w:t>
      </w:r>
      <w:r>
        <w:t xml:space="preserve"> </w:t>
      </w:r>
      <w:r>
        <w:rPr>
          <w:rStyle w:val="VerbatimChar"/>
        </w:rPr>
        <w:t xml:space="preserve">strictPQC</w:t>
      </w:r>
      <w:r>
        <w:t xml:space="preserve"> </w:t>
      </w:r>
      <w:r>
        <w:t xml:space="preserve">forbids all fallback; the default policy permits fallback only for a</w:t>
      </w:r>
      <w:r>
        <w:t xml:space="preserve"> </w:t>
      </w:r>
      <w:r>
        <w:t xml:space="preserve">local-only whitelist of capability/provider failures (timeouts and</w:t>
      </w:r>
      <w:r>
        <w:t xml:space="preserve"> </w:t>
      </w:r>
      <w:r>
        <w:t xml:space="preserve">unauthenticated network failures cannot trigger fallback).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Fig. </w:t>
      </w:r>
      <w:hyperlink w:anchor="fig:policy-downgrade">
        <w:r>
          <w:rPr>
            <w:rStyle w:val="Hyperlink"/>
          </w:rPr>
          <w:t xml:space="preserve">4</w:t>
        </w:r>
      </w:hyperlink>
      <w:r>
        <w:t xml:space="preserve">; Fig. </w:t>
      </w:r>
      <w:hyperlink w:anchor="fig:downgrade-matrix">
        <w:r>
          <w:rPr>
            <w:rStyle w:val="Hyperlink"/>
          </w:rPr>
          <w:t xml:space="preserve">5</w:t>
        </w:r>
      </w:hyperlink>
      <w:r>
        <w:t xml:space="preserve">;</w:t>
      </w:r>
      <w:r>
        <w:t xml:space="preserve"> </w:t>
      </w:r>
      <w:r>
        <w:rPr>
          <w:rStyle w:val="VerbatimChar"/>
        </w:rPr>
        <w:t xml:space="preserve">PolicyDowngradeBenchTests</w:t>
      </w:r>
      <w:r>
        <w:t xml:space="preserve">;</w:t>
      </w:r>
      <w:r>
        <w:t xml:space="preserve"> </w:t>
      </w:r>
      <w:r>
        <w:t xml:space="preserve">Table </w:t>
      </w:r>
      <w:hyperlink w:anchor="tab:legacy-fallback-preconditions">
        <w:r>
          <w:rPr>
            <w:rStyle w:val="Hyperlink"/>
          </w:rPr>
          <w:t xml:space="preserve">[tab:legacy-fallback-preconditions]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Explicit key confirmation:</w:t>
      </w:r>
      <w:r>
        <w:t xml:space="preserve"> </w:t>
      </w:r>
      <w:r>
        <w:t xml:space="preserve">two Finished frames provide</w:t>
      </w:r>
      <w:r>
        <w:t xml:space="preserve"> </w:t>
      </w:r>
      <w:r>
        <w:t xml:space="preserve">mutual confirmation, preventing half-open sessions (Fig. </w:t>
      </w:r>
      <w:hyperlink w:anchor="fig:handshake-sequence">
        <w:r>
          <w:rPr>
            <w:rStyle w:val="Hyperlink"/>
          </w:rPr>
          <w:t xml:space="preserve">1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Table </w:t>
      </w:r>
      <w:hyperlink w:anchor="tab:failure-mode-robustness">
        <w:r>
          <w:rPr>
            <w:rStyle w:val="Hyperlink"/>
          </w:rPr>
          <w:t xml:space="preserve">[tab:failure-mode-robustness]</w:t>
        </w:r>
      </w:hyperlink>
      <w:r>
        <w:t xml:space="preserve">;</w:t>
      </w:r>
      <w:r>
        <w:t xml:space="preserve"> </w:t>
      </w:r>
      <w:r>
        <w:rPr>
          <w:rStyle w:val="VerbatimChar"/>
        </w:rPr>
        <w:t xml:space="preserve">HandshakeFaultInjectionBenchTests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Auditability of migration decisions:</w:t>
      </w:r>
      <w:r>
        <w:t xml:space="preserve"> </w:t>
      </w:r>
      <w:r>
        <w:t xml:space="preserve">every fallback emits</w:t>
      </w:r>
      <w:r>
        <w:t xml:space="preserve"> </w:t>
      </w:r>
      <w:r>
        <w:t xml:space="preserve">a structured</w:t>
      </w:r>
      <w:r>
        <w:t xml:space="preserve"> </w:t>
      </w:r>
      <w:r>
        <w:rPr>
          <w:rStyle w:val="VerbatimChar"/>
        </w:rPr>
        <w:t xml:space="preserve">cryptoDowngrade</w:t>
      </w:r>
      <w:r>
        <w:t xml:space="preserve"> </w:t>
      </w:r>
      <w:r>
        <w:t xml:space="preserve">event with a minimal evidence</w:t>
      </w:r>
      <w:r>
        <w:t xml:space="preserve"> </w:t>
      </w:r>
      <w:r>
        <w:t xml:space="preserve">tuple (Section </w:t>
      </w:r>
      <w:hyperlink w:anchor="sec:security-model">
        <w:r>
          <w:rPr>
            <w:rStyle w:val="Hyperlink"/>
          </w:rPr>
          <w:t xml:space="preserve">4</w:t>
        </w:r>
      </w:hyperlink>
      <w:r>
        <w:t xml:space="preserve">), enabling post-hoc verification</w:t>
      </w:r>
      <w:r>
        <w:t xml:space="preserve"> </w:t>
      </w:r>
      <w:r>
        <w:t xml:space="preserve">and detection (e.g., Fig. </w:t>
      </w:r>
      <w:hyperlink w:anchor="fig:event-traces">
        <w:r>
          <w:rPr>
            <w:rStyle w:val="Hyperlink"/>
          </w:rPr>
          <w:t xml:space="preserve">7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Fig. </w:t>
      </w:r>
      <w:hyperlink w:anchor="fig:event-traces">
        <w:r>
          <w:rPr>
            <w:rStyle w:val="Hyperlink"/>
          </w:rPr>
          <w:t xml:space="preserve">7</w:t>
        </w:r>
      </w:hyperlink>
      <w:r>
        <w:t xml:space="preserve">; Table </w:t>
      </w:r>
      <w:hyperlink w:anchor="tab:security-contract">
        <w:r>
          <w:rPr>
            <w:rStyle w:val="Hyperlink"/>
          </w:rPr>
          <w:t xml:space="preserve">[tab:security-contract]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Non-claims (scope control):</w:t>
      </w:r>
      <w:r>
        <w:t xml:space="preserve"> </w:t>
      </w:r>
      <w:r>
        <w:t xml:space="preserve">v1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claim PQC</w:t>
      </w:r>
      <w:r>
        <w:t xml:space="preserve"> </w:t>
      </w:r>
      <w:r>
        <w:t xml:space="preserve">PFS for KEM-to-static-recipient suites, nor tamper-evident audit logs;</w:t>
      </w:r>
      <w:r>
        <w:t xml:space="preserve"> </w:t>
      </w:r>
      <w:r>
        <w:t xml:space="preserve">see Section </w:t>
      </w:r>
      <w:hyperlink w:anchor="sec:limitations">
        <w:r>
          <w:rPr>
            <w:rStyle w:val="Hyperlink"/>
          </w:rPr>
          <w:t xml:space="preserve">7</w:t>
        </w:r>
      </w:hyperlink>
      <w:r>
        <w:t xml:space="preserve">.</w:t>
      </w:r>
    </w:p>
    <w:bookmarkStart w:id="9" w:name="a.-contributions"/>
    <w:p>
      <w:pPr>
        <w:pStyle w:val="Heading2"/>
      </w:pPr>
      <w:r>
        <w:t xml:space="preserve">Contributions</w:t>
      </w:r>
    </w:p>
    <w:p>
      <w:pPr>
        <w:pStyle w:val="FirstParagraph"/>
      </w:pPr>
      <w:r>
        <w:t xml:space="preserve">Contributions:</w:t>
      </w:r>
    </w:p>
    <w:p>
      <w:pPr>
        <w:numPr>
          <w:ilvl w:val="0"/>
          <w:numId w:val="1002"/>
        </w:numPr>
      </w:pPr>
      <w:r>
        <w:t xml:space="preserve">We turn PQC migration from a narrative into an enforceable contract by</w:t>
      </w:r>
      <w:r>
        <w:t xml:space="preserve"> </w:t>
      </w:r>
      <w:r>
        <w:t xml:space="preserve">making downgrade and legacy-compatibility decisions explicit,</w:t>
      </w:r>
      <w:r>
        <w:t xml:space="preserve"> </w:t>
      </w:r>
      <w:r>
        <w:t xml:space="preserve">testable, and auditable rather than implicit</w:t>
      </w:r>
      <w:r>
        <w:t xml:space="preserve"> </w:t>
      </w:r>
      <w:r>
        <w:t xml:space="preserve">“best-effort”</w:t>
      </w:r>
      <w:r>
        <w:t xml:space="preserve"> </w:t>
      </w:r>
      <w:r>
        <w:t xml:space="preserve">fallback.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Fig. </w:t>
      </w:r>
      <w:hyperlink w:anchor="fig:downgrade-matrix">
        <w:r>
          <w:rPr>
            <w:rStyle w:val="Hyperlink"/>
          </w:rPr>
          <w:t xml:space="preserve">5</w:t>
        </w:r>
      </w:hyperlink>
      <w:r>
        <w:t xml:space="preserve">; Table </w:t>
      </w:r>
      <w:hyperlink w:anchor="tab:security-contract">
        <w:r>
          <w:rPr>
            <w:rStyle w:val="Hyperlink"/>
          </w:rPr>
          <w:t xml:space="preserve">[tab:security-contract]</w:t>
        </w:r>
      </w:hyperlink>
      <w:r>
        <w:t xml:space="preserve">;</w:t>
      </w:r>
      <w:r>
        <w:br/>
      </w:r>
      <w:r>
        <w:rPr>
          <w:rStyle w:val="VerbatimChar"/>
        </w:rPr>
        <w:t xml:space="preserve">PolicyDowngradeBenchTests</w:t>
      </w:r>
      <w:r>
        <w:t xml:space="preserve">,</w:t>
      </w:r>
      <w:r>
        <w:br/>
      </w:r>
      <w:r>
        <w:rPr>
          <w:rStyle w:val="VerbatimChar"/>
        </w:rPr>
        <w:t xml:space="preserve">LegacyFallbackPreconditionTests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We design a crypto-agile P2P handshake that cleanly separates suite</w:t>
      </w:r>
      <w:r>
        <w:t xml:space="preserve"> </w:t>
      </w:r>
      <w:r>
        <w:t xml:space="preserve">negotiation, transcript binding, and protocol-signature keys,</w:t>
      </w:r>
      <w:r>
        <w:t xml:space="preserve"> </w:t>
      </w:r>
      <w:r>
        <w:t xml:space="preserve">preventing</w:t>
      </w:r>
      <w:r>
        <w:t xml:space="preserve"> </w:t>
      </w:r>
      <w:r>
        <w:t xml:space="preserve">“suite says PQC but keys stay classical”</w:t>
      </w:r>
      <w:r>
        <w:t xml:space="preserve"> </w:t>
      </w:r>
      <w:r>
        <w:t xml:space="preserve">class of</w:t>
      </w:r>
      <w:r>
        <w:t xml:space="preserve"> </w:t>
      </w:r>
      <w:r>
        <w:t xml:space="preserve">integration bugs.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Fig. </w:t>
      </w:r>
      <w:hyperlink w:anchor="fig:handshake-sequence">
        <w:r>
          <w:rPr>
            <w:rStyle w:val="Hyperlink"/>
          </w:rPr>
          <w:t xml:space="preserve">1</w:t>
        </w:r>
      </w:hyperlink>
      <w:r>
        <w:t xml:space="preserve">; Table </w:t>
      </w:r>
      <w:hyperlink w:anchor="tab:security-contract">
        <w:r>
          <w:rPr>
            <w:rStyle w:val="Hyperlink"/>
          </w:rPr>
          <w:t xml:space="preserve">[tab:security-contract]</w:t>
        </w:r>
      </w:hyperlink>
      <w:r>
        <w:t xml:space="preserve">;</w:t>
      </w:r>
      <w:r>
        <w:br/>
      </w:r>
      <w:r>
        <w:rPr>
          <w:rStyle w:val="VerbatimChar"/>
        </w:rPr>
        <w:t xml:space="preserve">ProtocolSignatureRegressionTests</w:t>
      </w:r>
      <w:r>
        <w:t xml:space="preserve">,</w:t>
      </w:r>
      <w:r>
        <w:br/>
      </w:r>
      <w:r>
        <w:rPr>
          <w:rStyle w:val="VerbatimChar"/>
        </w:rPr>
        <w:t xml:space="preserve">TranscriptIntegrityPropertyTests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We provide migration safety with measurable coverage by enumerating</w:t>
      </w:r>
      <w:r>
        <w:t xml:space="preserve"> </w:t>
      </w:r>
      <w:r>
        <w:t xml:space="preserve">legacy/PQC strata and validating acceptance/rejection boundaries under</w:t>
      </w:r>
      <w:r>
        <w:t xml:space="preserve"> </w:t>
      </w:r>
      <w:r>
        <w:t xml:space="preserve">fault injection instead of relying on informal compatibility claims.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Table </w:t>
      </w:r>
      <w:hyperlink w:anchor="tab:legacy-fallback-preconditions">
        <w:r>
          <w:rPr>
            <w:rStyle w:val="Hyperlink"/>
          </w:rPr>
          <w:t xml:space="preserve">[tab:legacy-fallback-preconditions]</w:t>
        </w:r>
      </w:hyperlink>
      <w:r>
        <w:t xml:space="preserve">; Table </w:t>
      </w:r>
      <w:hyperlink w:anchor="tab:failure-mode-robustness">
        <w:r>
          <w:rPr>
            <w:rStyle w:val="Hyperlink"/>
          </w:rPr>
          <w:t xml:space="preserve">[tab:failure-mode-robustness]</w:t>
        </w:r>
      </w:hyperlink>
      <w:r>
        <w:t xml:space="preserve">;</w:t>
      </w:r>
      <w:r>
        <w:br/>
      </w:r>
      <w:r>
        <w:rPr>
          <w:rStyle w:val="VerbatimChar"/>
        </w:rPr>
        <w:t xml:space="preserve">HandshakeFaultInjectionBenchTests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We harden correctness under concurrency by an actor-isolated state</w:t>
      </w:r>
      <w:r>
        <w:t xml:space="preserve"> </w:t>
      </w:r>
      <w:r>
        <w:t xml:space="preserve">machine with idempotent transitions and bounded retries, eliminating</w:t>
      </w:r>
      <w:r>
        <w:t xml:space="preserve"> </w:t>
      </w:r>
      <w:r>
        <w:t xml:space="preserve">double-resume and state desynchronization failure modes.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Fig. </w:t>
      </w:r>
      <w:hyperlink w:anchor="fig:state-machines">
        <w:r>
          <w:rPr>
            <w:rStyle w:val="Hyperlink"/>
          </w:rPr>
          <w:t xml:space="preserve">3</w:t>
        </w:r>
      </w:hyperlink>
      <w:r>
        <w:t xml:space="preserve">;</w:t>
      </w:r>
      <w:r>
        <w:br/>
      </w:r>
      <w:r>
        <w:t xml:space="preserve">Table </w:t>
      </w:r>
      <w:hyperlink w:anchor="tab:security-contract">
        <w:r>
          <w:rPr>
            <w:rStyle w:val="Hyperlink"/>
          </w:rPr>
          <w:t xml:space="preserve">[tab:security-contract]</w:t>
        </w:r>
      </w:hyperlink>
      <w:r>
        <w:t xml:space="preserve">;</w:t>
      </w:r>
      <w:r>
        <w:t xml:space="preserve"> </w:t>
      </w:r>
      <w:r>
        <w:rPr>
          <w:rStyle w:val="VerbatimChar"/>
        </w:rPr>
        <w:t xml:space="preserve">HandshakeDriverTests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We make evaluation reproducible by shipping a benchmark harness that</w:t>
      </w:r>
      <w:r>
        <w:t xml:space="preserve"> </w:t>
      </w:r>
      <w:r>
        <w:t xml:space="preserve">reports distributional statistics (p50/p95/p99) over large-N runs and</w:t>
      </w:r>
      <w:r>
        <w:t xml:space="preserve"> </w:t>
      </w:r>
      <w:r>
        <w:t xml:space="preserve">links each metric back to a concrete failure taxonomy.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Fig. </w:t>
      </w:r>
      <w:hyperlink w:anchor="fig:policy-downgrade">
        <w:r>
          <w:rPr>
            <w:rStyle w:val="Hyperlink"/>
          </w:rPr>
          <w:t xml:space="preserve">4</w:t>
        </w:r>
      </w:hyperlink>
      <w:r>
        <w:t xml:space="preserve">; Table </w:t>
      </w:r>
      <w:hyperlink w:anchor="tab:perf-summary">
        <w:r>
          <w:rPr>
            <w:rStyle w:val="Hyperlink"/>
          </w:rPr>
          <w:t xml:space="preserve">[tab:perf-summary]</w:t>
        </w:r>
      </w:hyperlink>
      <w:r>
        <w:t xml:space="preserve">;</w:t>
      </w:r>
      <w:r>
        <w:br/>
      </w:r>
      <w:r>
        <w:rPr>
          <w:rStyle w:val="VerbatimChar"/>
        </w:rPr>
        <w:t xml:space="preserve">HandshakeBenchmarkTests</w:t>
      </w:r>
      <w:r>
        <w:t xml:space="preserve">,</w:t>
      </w:r>
      <w:r>
        <w:br/>
      </w:r>
      <w:r>
        <w:rPr>
          <w:rStyle w:val="VerbatimChar"/>
        </w:rPr>
        <w:t xml:space="preserve">MessageSizeSnapshotTests</w:t>
      </w:r>
      <w:r>
        <w:t xml:space="preserve">.</w:t>
      </w:r>
    </w:p>
    <w:bookmarkEnd w:id="9"/>
    <w:bookmarkStart w:id="10" w:name="b.-paper-organization"/>
    <w:p>
      <w:pPr>
        <w:pStyle w:val="Heading2"/>
      </w:pPr>
      <w:r>
        <w:t xml:space="preserve">Paper Organization</w:t>
      </w:r>
    </w:p>
    <w:p>
      <w:pPr>
        <w:pStyle w:val="FirstParagraph"/>
      </w:pPr>
      <w:r>
        <w:t xml:space="preserve">Section </w:t>
      </w:r>
      <w:hyperlink w:anchor="sec:related-work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reviews related work on P2P pairing,</w:t>
      </w:r>
      <w:r>
        <w:t xml:space="preserve"> </w:t>
      </w:r>
      <w:r>
        <w:t xml:space="preserve">negotiation, and PQC migration. Section </w:t>
      </w:r>
      <w:hyperlink w:anchor="sec:system-architectur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details system architecture and protocol design.</w:t>
      </w:r>
      <w:r>
        <w:t xml:space="preserve"> </w:t>
      </w:r>
      <w:r>
        <w:t xml:space="preserve">Section </w:t>
      </w:r>
      <w:hyperlink w:anchor="sec:handshake-state-machin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presents the handshake state</w:t>
      </w:r>
      <w:r>
        <w:t xml:space="preserve"> </w:t>
      </w:r>
      <w:r>
        <w:t xml:space="preserve">machine. Section </w:t>
      </w:r>
      <w:hyperlink w:anchor="sec:security-model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presents the security model</w:t>
      </w:r>
      <w:r>
        <w:t xml:space="preserve"> </w:t>
      </w:r>
      <w:r>
        <w:t xml:space="preserve">and guarantees. Section </w:t>
      </w:r>
      <w:hyperlink w:anchor="sec:implementation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describes</w:t>
      </w:r>
      <w:r>
        <w:t xml:space="preserve"> </w:t>
      </w:r>
      <w:r>
        <w:t xml:space="preserve">implementation highlights and platform instantiation. Section </w:t>
      </w:r>
      <w:hyperlink w:anchor="sec:evaluation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outlines evaluation methodology and metrics. Section </w:t>
      </w:r>
      <w:hyperlink w:anchor="sec:limitation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discusses limitations and future work, and Section </w:t>
      </w:r>
      <w:hyperlink w:anchor="sec:conclusion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concludes. Supplementary Materials provide full wire-format definitions,</w:t>
      </w:r>
      <w:r>
        <w:t xml:space="preserve"> </w:t>
      </w:r>
      <w:r>
        <w:t xml:space="preserve">implementation details, and extended tables.</w:t>
      </w:r>
    </w:p>
    <w:bookmarkEnd w:id="10"/>
    <w:bookmarkStart w:id="17" w:name="sec:related-work"/>
    <w:p>
      <w:pPr>
        <w:pStyle w:val="Heading1"/>
      </w:pPr>
      <w:r>
        <w:t xml:space="preserve">Related Work</w:t>
      </w:r>
    </w:p>
    <w:p>
      <w:pPr>
        <w:pStyle w:val="FirstParagraph"/>
      </w:pPr>
      <w:r>
        <w:t xml:space="preserve">We use the following terms throughout:</w:t>
      </w:r>
      <w:r>
        <w:t xml:space="preserve"> </w:t>
      </w:r>
      <w:r>
        <w:rPr>
          <w:i/>
          <w:iCs/>
        </w:rPr>
        <w:t xml:space="preserve">crypto agility</w:t>
      </w:r>
      <w:r>
        <w:t xml:space="preserve"> </w:t>
      </w:r>
      <w:r>
        <w:t xml:space="preserve">(ability to</w:t>
      </w:r>
      <w:r>
        <w:t xml:space="preserve"> </w:t>
      </w:r>
      <w:r>
        <w:t xml:space="preserve">migrate primitives without redesign),</w:t>
      </w:r>
      <w:r>
        <w:t xml:space="preserve"> </w:t>
      </w:r>
      <w:r>
        <w:rPr>
          <w:i/>
          <w:iCs/>
        </w:rPr>
        <w:t xml:space="preserve">downgrade resistance</w:t>
      </w:r>
      <w:r>
        <w:t xml:space="preserve"> </w:t>
      </w:r>
      <w:r>
        <w:t xml:space="preserve">(prevent or detect forced fallback),</w:t>
      </w:r>
      <w:r>
        <w:t xml:space="preserve"> </w:t>
      </w:r>
      <w:r>
        <w:rPr>
          <w:i/>
          <w:iCs/>
        </w:rPr>
        <w:t xml:space="preserve">suite negotiation</w:t>
      </w:r>
      <w:r>
        <w:t xml:space="preserve"> </w:t>
      </w:r>
      <w:r>
        <w:t xml:space="preserve">(explicit,</w:t>
      </w:r>
      <w:r>
        <w:t xml:space="preserve"> </w:t>
      </w:r>
      <w:r>
        <w:t xml:space="preserve">authenticated selection of handshake KEM/SIG/AEAD/KDF),</w:t>
      </w:r>
      <w:r>
        <w:t xml:space="preserve"> </w:t>
      </w:r>
      <w:r>
        <w:rPr>
          <w:i/>
          <w:iCs/>
        </w:rPr>
        <w:t xml:space="preserve">PQC readiness</w:t>
      </w:r>
      <w:r>
        <w:t xml:space="preserve"> </w:t>
      </w:r>
      <w:r>
        <w:t xml:space="preserve">(ability to deploy PQC alongside classic suites), and</w:t>
      </w:r>
      <w:r>
        <w:t xml:space="preserve"> </w:t>
      </w:r>
      <w:r>
        <w:rPr>
          <w:i/>
          <w:iCs/>
        </w:rPr>
        <w:t xml:space="preserve">auditability</w:t>
      </w:r>
      <w:r>
        <w:t xml:space="preserve"> </w:t>
      </w:r>
      <w:r>
        <w:t xml:space="preserve">(deterministic, minimal event traces for security decisions). Our threat</w:t>
      </w:r>
      <w:r>
        <w:t xml:space="preserve"> </w:t>
      </w:r>
      <w:r>
        <w:t xml:space="preserve">model assumes an active network attacker attempting to induce fallback</w:t>
      </w:r>
      <w:r>
        <w:t xml:space="preserve"> </w:t>
      </w:r>
      <w:r>
        <w:t xml:space="preserve">or obscure failures; therefore we focus on mechanisms that make</w:t>
      </w:r>
      <w:r>
        <w:t xml:space="preserve"> </w:t>
      </w:r>
      <w:r>
        <w:t xml:space="preserve">negotiation and failures explicit and auditable.</w:t>
      </w:r>
    </w:p>
    <w:bookmarkStart w:id="11" w:name="a.-peer-to-peer-device-pairing"/>
    <w:p>
      <w:pPr>
        <w:pStyle w:val="Heading2"/>
      </w:pPr>
      <w:r>
        <w:t xml:space="preserve">Peer-to-Peer Device</w:t>
      </w:r>
      <w:r>
        <w:t xml:space="preserve"> </w:t>
      </w:r>
      <w:r>
        <w:t xml:space="preserve">Pairing</w:t>
      </w:r>
    </w:p>
    <w:p>
      <w:pPr>
        <w:pStyle w:val="FirstParagraph"/>
      </w:pPr>
      <w:r>
        <w:t xml:space="preserve">Pairing protocols such as Bluetooth SSP</w:t>
      </w:r>
      <w:r>
        <w:t xml:space="preserve"> </w:t>
      </w:r>
      <w:r>
        <w:t xml:space="preserve">, Continuity</w:t>
      </w:r>
      <w:r>
        <w:t xml:space="preserve"> </w:t>
      </w:r>
      <w:r>
        <w:t xml:space="preserve">,</w:t>
      </w:r>
      <w:r>
        <w:t xml:space="preserve"> </w:t>
      </w:r>
      <w:r>
        <w:t xml:space="preserve">and PAKEs like SPAKE2+</w:t>
      </w:r>
      <w:r>
        <w:t xml:space="preserve"> </w:t>
      </w:r>
      <w:r>
        <w:t xml:space="preserve"> </w:t>
      </w:r>
      <w:r>
        <w:t xml:space="preserve">establish initial trust but stop short</w:t>
      </w:r>
      <w:r>
        <w:t xml:space="preserve"> </w:t>
      </w:r>
      <w:r>
        <w:t xml:space="preserve">of post-pairing migration, downgrade policy, or auditability. SkyBridge</w:t>
      </w:r>
      <w:r>
        <w:t xml:space="preserve"> </w:t>
      </w:r>
      <w:r>
        <w:t xml:space="preserve">Compass begins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pairing and treats pinned identity keys as</w:t>
      </w:r>
      <w:r>
        <w:t xml:space="preserve"> </w:t>
      </w:r>
      <w:r>
        <w:t xml:space="preserve">inputs rather than outcomes.</w:t>
      </w:r>
    </w:p>
    <w:bookmarkEnd w:id="11"/>
    <w:bookmarkStart w:id="12" w:name="b.-cryptographic-agility-and-negotiation"/>
    <w:p>
      <w:pPr>
        <w:pStyle w:val="Heading2"/>
      </w:pPr>
      <w:r>
        <w:t xml:space="preserve">Cryptographic Agility and</w:t>
      </w:r>
      <w:r>
        <w:t xml:space="preserve"> </w:t>
      </w:r>
      <w:r>
        <w:t xml:space="preserve">Negotiation</w:t>
      </w:r>
    </w:p>
    <w:p>
      <w:pPr>
        <w:pStyle w:val="FirstParagraph"/>
      </w:pPr>
      <w:r>
        <w:t xml:space="preserve">TLS 1.3 and QUIC bind negotiated parameters into transcripts and</w:t>
      </w:r>
      <w:r>
        <w:t xml:space="preserve"> </w:t>
      </w:r>
      <w:r>
        <w:t xml:space="preserve">transport parameters to prevent silent downgrade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but they do not define an auditable, system-level fallback policy across</w:t>
      </w:r>
      <w:r>
        <w:t xml:space="preserve"> </w:t>
      </w:r>
      <w:r>
        <w:t xml:space="preserve">heterogeneous providers. We operationalize migration guidance</w:t>
      </w:r>
      <w:r>
        <w:t xml:space="preserve"> </w:t>
      </w:r>
      <w:r>
        <w:t xml:space="preserve"> </w:t>
      </w:r>
      <w:r>
        <w:t xml:space="preserve">with explicit policy gates and event emission that make</w:t>
      </w:r>
      <w:r>
        <w:t xml:space="preserve"> </w:t>
      </w:r>
      <w:r>
        <w:t xml:space="preserve">downgrade decisions observable and testable.</w:t>
      </w:r>
    </w:p>
    <w:bookmarkEnd w:id="12"/>
    <w:bookmarkStart w:id="13" w:name="X5e2fb46c72392894a85130e51ee4dc6aef4fa64"/>
    <w:p>
      <w:pPr>
        <w:pStyle w:val="Heading2"/>
      </w:pPr>
      <w:r>
        <w:t xml:space="preserve">Handshake Frameworks and Noise-Style</w:t>
      </w:r>
      <w:r>
        <w:t xml:space="preserve"> </w:t>
      </w:r>
      <w:r>
        <w:t xml:space="preserve">Patterns</w:t>
      </w:r>
    </w:p>
    <w:p>
      <w:pPr>
        <w:pStyle w:val="FirstParagraph"/>
      </w:pPr>
      <w:r>
        <w:t xml:space="preserve">Noise provides a compact framework for describing authenticated key</w:t>
      </w:r>
      <w:r>
        <w:t xml:space="preserve"> </w:t>
      </w:r>
      <w:r>
        <w:t xml:space="preserve">exchange patterns with explicit transcript binding and identity key</w:t>
      </w:r>
      <w:r>
        <w:t xml:space="preserve"> </w:t>
      </w:r>
      <w:r>
        <w:t xml:space="preserve">usage</w:t>
      </w:r>
      <w:r>
        <w:t xml:space="preserve"> </w:t>
      </w:r>
      <w:r>
        <w:t xml:space="preserve">. While SkyBridge Compass does not implement Noise</w:t>
      </w:r>
      <w:r>
        <w:t xml:space="preserve"> </w:t>
      </w:r>
      <w:r>
        <w:t xml:space="preserve">directly, our MessageA/MessageB/Finished exchange targets similar</w:t>
      </w:r>
      <w:r>
        <w:t xml:space="preserve"> </w:t>
      </w:r>
      <w:r>
        <w:t xml:space="preserve">transcript-binding goals while adding explicit suite negotiation and</w:t>
      </w:r>
      <w:r>
        <w:t xml:space="preserve"> </w:t>
      </w:r>
      <w:r>
        <w:t xml:space="preserve">auditable policy outcomes.</w:t>
      </w:r>
    </w:p>
    <w:bookmarkEnd w:id="13"/>
    <w:bookmarkStart w:id="14" w:name="d.-post-quantum-cryptography-deployment"/>
    <w:p>
      <w:pPr>
        <w:pStyle w:val="Heading2"/>
      </w:pPr>
      <w:r>
        <w:t xml:space="preserve">Post-Quantum Cryptography</w:t>
      </w:r>
      <w:r>
        <w:t xml:space="preserve"> </w:t>
      </w:r>
      <w:r>
        <w:t xml:space="preserve">Deployment</w:t>
      </w:r>
    </w:p>
    <w:p>
      <w:pPr>
        <w:pStyle w:val="FirstParagraph"/>
      </w:pPr>
      <w:r>
        <w:t xml:space="preserve">PQC standardization and early deployments highlight size and performance</w:t>
      </w:r>
      <w:r>
        <w:t xml:space="preserve"> </w:t>
      </w:r>
      <w:r>
        <w:t xml:space="preserve">costs, along with pressure for hybrid deployments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. We</w:t>
      </w:r>
      <w:r>
        <w:t xml:space="preserve"> </w:t>
      </w:r>
      <w:r>
        <w:t xml:space="preserve">focus on making downgrade policy and auditability explicit across</w:t>
      </w:r>
      <w:r>
        <w:t xml:space="preserve"> </w:t>
      </w:r>
      <w:r>
        <w:t xml:space="preserve">providers, treating Apple’s CryptoKit PQC</w:t>
      </w:r>
      <w:r>
        <w:t xml:space="preserve"> </w:t>
      </w:r>
      <w:r>
        <w:t xml:space="preserve"> </w:t>
      </w:r>
      <w:r>
        <w:t xml:space="preserve">as a deployment</w:t>
      </w:r>
      <w:r>
        <w:t xml:space="preserve"> </w:t>
      </w:r>
      <w:r>
        <w:t xml:space="preserve">instance rather than a protocol dependency.</w:t>
      </w:r>
    </w:p>
    <w:bookmarkEnd w:id="14"/>
    <w:bookmarkStart w:id="15" w:name="e.-secure-state-machine-design"/>
    <w:p>
      <w:pPr>
        <w:pStyle w:val="Heading2"/>
      </w:pPr>
      <w:r>
        <w:t xml:space="preserve">Secure State Machine</w:t>
      </w:r>
      <w:r>
        <w:t xml:space="preserve"> </w:t>
      </w:r>
      <w:r>
        <w:t xml:space="preserve">Design</w:t>
      </w:r>
    </w:p>
    <w:p>
      <w:pPr>
        <w:pStyle w:val="FirstParagraph"/>
      </w:pPr>
      <w:r>
        <w:t xml:space="preserve">State machine vulnerabilities have been a persistent source of security</w:t>
      </w:r>
      <w:r>
        <w:t xml:space="preserve"> </w:t>
      </w:r>
      <w:r>
        <w:t xml:space="preserve">bugs in protocol implementations</w:t>
      </w:r>
      <w:r>
        <w:t xml:space="preserve"> </w:t>
      </w:r>
      <w:r>
        <w:t xml:space="preserve">,</w:t>
      </w:r>
      <w:r>
        <w:t xml:space="preserve"> </w:t>
      </w:r>
      <w:r>
        <w:t xml:space="preserve">. Actor-based concurrency</w:t>
      </w:r>
      <w:r>
        <w:t xml:space="preserve"> </w:t>
      </w:r>
      <w:r>
        <w:t xml:space="preserve">models, as implemented in Swift’s actor system</w:t>
      </w:r>
      <w:r>
        <w:t xml:space="preserve"> </w:t>
      </w:r>
      <w:r>
        <w:t xml:space="preserve">, provide</w:t>
      </w:r>
      <w:r>
        <w:t xml:space="preserve"> </w:t>
      </w:r>
      <w:r>
        <w:t xml:space="preserve">compile-time guarantees against data races. We extend this model with</w:t>
      </w:r>
      <w:r>
        <w:t xml:space="preserve"> </w:t>
      </w:r>
      <w:r>
        <w:t xml:space="preserve">deterministic completion, timeout handling, and audit events for</w:t>
      </w:r>
      <w:r>
        <w:t xml:space="preserve"> </w:t>
      </w:r>
      <w:r>
        <w:t xml:space="preserve">cryptographic handshakes.</w:t>
      </w:r>
    </w:p>
    <w:bookmarkEnd w:id="15"/>
    <w:bookmarkStart w:id="16" w:name="sec:baseline-comparison"/>
    <w:p>
      <w:pPr>
        <w:pStyle w:val="Heading2"/>
      </w:pPr>
      <w:r>
        <w:t xml:space="preserve">Baseline Comparison with Widely Deployed</w:t>
      </w:r>
      <w:r>
        <w:t xml:space="preserve"> </w:t>
      </w:r>
      <w:r>
        <w:t xml:space="preserve">Handshakes</w:t>
      </w:r>
    </w:p>
    <w:p>
      <w:pPr>
        <w:pStyle w:val="FirstParagraph"/>
      </w:pPr>
      <w:r>
        <w:t xml:space="preserve">Table </w:t>
      </w:r>
      <w:hyperlink w:anchor="tab:baseline-comparison">
        <w:r>
          <w:rPr>
            <w:rStyle w:val="Hyperlink"/>
          </w:rPr>
          <w:t xml:space="preserve">[tab:baseline-comparison]</w:t>
        </w:r>
      </w:hyperlink>
      <w:r>
        <w:t xml:space="preserve"> </w:t>
      </w:r>
      <w:r>
        <w:t xml:space="preserve">contrasts SkyBridge Compass with</w:t>
      </w:r>
      <w:r>
        <w:t xml:space="preserve"> </w:t>
      </w:r>
      <w:r>
        <w:t xml:space="preserve">widely deployed handshake frameworks on explicit negotiation, downgrade</w:t>
      </w:r>
      <w:r>
        <w:t xml:space="preserve"> </w:t>
      </w:r>
      <w:r>
        <w:t xml:space="preserve">auditability, and failure semantics, and reports message count, wire</w:t>
      </w:r>
      <w:r>
        <w:t xml:space="preserve"> </w:t>
      </w:r>
      <w:r>
        <w:t xml:space="preserve">size, and latency where available.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 nego. explicit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Auditable downgrade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size (p50/p95, KB)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p50/p95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 1.3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(cipher suites, groups)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Downgrade prevention only; audit 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 defined; audit 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 RTT)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/14.01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(TLS 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 RTT)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/11.37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 DTLS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(DTLS 1.2 ciphers)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Downgrade prevention only; audit 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 defined; audit 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 RTT)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/11.79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Noise XX</w:t>
            </w:r>
            <w: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(fixed pattern)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policy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Pattern-defined; audit external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/0.58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SkyBridge Compass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(suite + policy bound)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(explicit policy + events)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+ evented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/43.6 (liboqs)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/18.8 (CryptoKit)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/2.76 ms (liboqs)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/7.53 ms (CryptoKit)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Loopback SkyBridge p95 latency is 1.57// ms for</w:t>
      </w:r>
      <w:r>
        <w:t xml:space="preserve"> </w:t>
      </w:r>
      <w:r>
        <w:t xml:space="preserve">classic/liboqs/CryptoKit, remaining below</w:t>
      </w:r>
      <w:r>
        <w:t xml:space="preserve"> </w:t>
      </w:r>
      <w:r>
        <w:t xml:space="preserve">TLS/QUIC/DTLS in this setup. The in-memory handshake microbench isolates</w:t>
      </w:r>
      <w:r>
        <w:t xml:space="preserve"> </w:t>
      </w:r>
      <w:r>
        <w:t xml:space="preserve">crypto/state-machine overhead (p95</w:t>
      </w:r>
      <w:r>
        <w:t xml:space="preserve"> </w:t>
      </w:r>
      <w:r>
        <w:t xml:space="preserve">1.45// ms for</w:t>
      </w:r>
      <w:r>
        <w:t xml:space="preserve"> </w:t>
      </w:r>
      <w:r>
        <w:t xml:space="preserve">classic/liboqs/CryptoKit) and is reported in</w:t>
      </w:r>
      <w:r>
        <w:t xml:space="preserve"> </w:t>
      </w:r>
      <w:r>
        <w:t xml:space="preserve">Section </w:t>
      </w:r>
      <w:hyperlink w:anchor="sec:evaluation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and Supplementary Tables </w:t>
      </w:r>
      <w:hyperlink w:anchor="tab:supp-latency">
        <w:r>
          <w:rPr>
            <w:rStyle w:val="Hyperlink"/>
          </w:rPr>
          <w:t xml:space="preserve">[tab:supp-latency]</w:t>
        </w:r>
      </w:hyperlink>
      <w:r>
        <w:t xml:space="preserve">–</w:t>
      </w:r>
      <w:hyperlink w:anchor="tab:supp-rtt">
        <w:r>
          <w:rPr>
            <w:rStyle w:val="Hyperlink"/>
          </w:rPr>
          <w:t xml:space="preserve">[tab:supp-rtt]</w:t>
        </w:r>
      </w:hyperlink>
      <w:r>
        <w:t xml:space="preserve">.</w:t>
      </w:r>
      <w:r>
        <w:t xml:space="preserve"> </w:t>
      </w:r>
      <w:r>
        <w:t xml:space="preserve">Loopback TLS/QUIC/DTLS p95 latency is 11.37–14.01 ms; wire-size baselines</w:t>
      </w:r>
      <w:r>
        <w:t xml:space="preserve"> </w:t>
      </w:r>
      <w:r>
        <w:t xml:space="preserve">(p50/p95) are reported in Supplementary Table </w:t>
      </w:r>
      <w:hyperlink w:anchor="tab:supp-loopback-wire">
        <w:r>
          <w:rPr>
            <w:rStyle w:val="Hyperlink"/>
          </w:rPr>
          <w:t xml:space="preserve">[tab:supp-loopback-wire]</w:t>
        </w:r>
      </w:hyperlink>
      <w:r>
        <w:t xml:space="preserve"> </w:t>
      </w:r>
      <w:r>
        <w:t xml:space="preserve">and are reproducible via</w:t>
      </w:r>
      <w:r>
        <w:t xml:space="preserve"> </w:t>
      </w:r>
      <w:r>
        <w:t xml:space="preserve">loopback pcap capture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Scripts/run_baseline_bench.sh</w:t>
      </w:r>
      <w:r>
        <w:t xml:space="preserve">).</w:t>
      </w:r>
      <w:r>
        <w:t xml:space="preserve"> </w:t>
      </w:r>
      <w:r>
        <w:t xml:space="preserve">SkyBridge-CryptoKit loopback baselines are included in Supplementary Table </w:t>
      </w:r>
      <w:hyperlink w:anchor="tab:supp-loopback-wire">
        <w:r>
          <w:rPr>
            <w:rStyle w:val="Hyperlink"/>
          </w:rPr>
          <w:t xml:space="preserve">[tab:supp-loopback-wire]</w:t>
        </w:r>
      </w:hyperlink>
      <w:r>
        <w:t xml:space="preserve">.</w:t>
      </w:r>
    </w:p>
    <w:bookmarkEnd w:id="16"/>
    <w:bookmarkEnd w:id="17"/>
    <w:bookmarkStart w:id="30" w:name="sec:system-architecture"/>
    <w:p>
      <w:pPr>
        <w:pStyle w:val="Heading1"/>
      </w:pPr>
      <w:r>
        <w:t xml:space="preserve">System Architecture</w:t>
      </w:r>
    </w:p>
    <w:bookmarkStart w:id="18" w:name="a.-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SkyBridge Compass implements a layered architecture separating concerns</w:t>
      </w:r>
      <w:r>
        <w:t xml:space="preserve"> </w:t>
      </w:r>
      <w:r>
        <w:t xml:space="preserve">across four primary domains: discovery, cryptographic operations,</w:t>
      </w:r>
      <w:r>
        <w:t xml:space="preserve"> </w:t>
      </w:r>
      <w:r>
        <w:t xml:space="preserve">handshake management, and session transport. Fig. </w:t>
      </w:r>
      <w:hyperlink w:anchor="fig:architectur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illustrates the</w:t>
      </w:r>
      <w:r>
        <w:t xml:space="preserve"> </w:t>
      </w:r>
      <w:r>
        <w:t xml:space="preserve">high-level component relationships and trust boundaries.</w:t>
      </w:r>
    </w:p>
    <w:bookmarkEnd w:id="18"/>
    <w:bookmarkStart w:id="19" w:name="a.1-threat-model"/>
    <w:p>
      <w:pPr>
        <w:pStyle w:val="Heading2"/>
      </w:pPr>
      <w:r>
        <w:t xml:space="preserve">Threat Model</w:t>
      </w:r>
    </w:p>
    <w:p>
      <w:pPr>
        <w:pStyle w:val="FirstParagraph"/>
      </w:pPr>
      <w:r>
        <w:t xml:space="preserve">We model an active network attacker in the Dolev-Yao style with the</w:t>
      </w:r>
      <w:r>
        <w:t xml:space="preserve"> </w:t>
      </w:r>
      <w:r>
        <w:t xml:space="preserve">following</w:t>
      </w:r>
      <w:r>
        <w:t xml:space="preserve"> </w:t>
      </w:r>
      <w:r>
        <w:rPr>
          <w:b/>
          <w:bCs/>
        </w:rPr>
        <w:t xml:space="preserve">capability set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Network Capabilities (Attacker-Controlled):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Drop / delay / reorder / duplicate</w:t>
      </w:r>
      <w:r>
        <w:t xml:space="preserve"> </w:t>
      </w:r>
      <w:r>
        <w:t xml:space="preserve">packets on the discovery</w:t>
      </w:r>
      <w:r>
        <w:t xml:space="preserve"> </w:t>
      </w:r>
      <w:r>
        <w:t xml:space="preserve">channel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Modify/inject</w:t>
      </w:r>
      <w:r>
        <w:t xml:space="preserve"> </w:t>
      </w:r>
      <w:r>
        <w:t xml:space="preserve">arbitrary bytes in MessageA, MessageB, or</w:t>
      </w:r>
      <w:r>
        <w:t xml:space="preserve"> </w:t>
      </w:r>
      <w:r>
        <w:t xml:space="preserve">Finished frames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Replay</w:t>
      </w:r>
      <w:r>
        <w:t xml:space="preserve"> </w:t>
      </w:r>
      <w:r>
        <w:t xml:space="preserve">prior handshake messages across sessions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Spoof capability or policy claims</w:t>
      </w:r>
      <w:r>
        <w:t xml:space="preserve"> </w:t>
      </w:r>
      <w:r>
        <w:t xml:space="preserve">to induce weaker</w:t>
      </w:r>
      <w:r>
        <w:t xml:space="preserve"> </w:t>
      </w:r>
      <w:r>
        <w:t xml:space="preserve">negotiation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Force negotiation failure</w:t>
      </w:r>
      <w:r>
        <w:t xml:space="preserve"> </w:t>
      </w:r>
      <w:r>
        <w:t xml:space="preserve">by corrupting suites, key shares,</w:t>
      </w:r>
      <w:r>
        <w:t xml:space="preserve"> </w:t>
      </w:r>
      <w:r>
        <w:t xml:space="preserve">or signatures</w:t>
      </w:r>
    </w:p>
    <w:p>
      <w:pPr>
        <w:pStyle w:val="FirstParagraph"/>
      </w:pPr>
      <w:r>
        <w:rPr>
          <w:b/>
          <w:bCs/>
        </w:rPr>
        <w:t xml:space="preserve">Defense Mapping (Protocol + Policy):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Transcript binding:</w:t>
      </w:r>
      <w:r>
        <w:t xml:space="preserve"> </w:t>
      </w:r>
      <w:r>
        <w:rPr>
          <w:rStyle w:val="VerbatimChar"/>
        </w:rPr>
        <w:t xml:space="preserve">sigB</w:t>
      </w:r>
      <w:r>
        <w:t xml:space="preserve"> </w:t>
      </w:r>
      <w:r>
        <w:t xml:space="preserve">covers MessageA and the</w:t>
      </w:r>
      <w:r>
        <w:t xml:space="preserve"> </w:t>
      </w:r>
      <w:r>
        <w:t xml:space="preserve">chosen suite, so modifications to</w:t>
      </w:r>
      <w:r>
        <w:t xml:space="preserve"> </w:t>
      </w:r>
      <w:r>
        <w:rPr>
          <w:rStyle w:val="VerbatimChar"/>
        </w:rPr>
        <w:t xml:space="preserve">supportedSuites[]</w:t>
      </w:r>
      <w:r>
        <w:t xml:space="preserve">,</w:t>
      </w:r>
      <w:r>
        <w:t xml:space="preserve"> </w:t>
      </w:r>
      <w:r>
        <w:rPr>
          <w:rStyle w:val="VerbatimChar"/>
        </w:rPr>
        <w:t xml:space="preserve">keyShares[]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fail verification.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Negotiation integrity:</w:t>
      </w:r>
      <w:r>
        <w:t xml:space="preserve"> </w:t>
      </w:r>
      <w:r>
        <w:t xml:space="preserve">Responder MUST select a suite that</w:t>
      </w:r>
      <w:r>
        <w:t xml:space="preserve"> </w:t>
      </w:r>
      <w:r>
        <w:t xml:space="preserve">Initiator offered and for which a key share exists; otherwise reject</w:t>
      </w:r>
      <w:r>
        <w:t xml:space="preserve"> </w:t>
      </w:r>
      <w:r>
        <w:rPr>
          <w:rStyle w:val="VerbatimChar"/>
        </w:rPr>
        <w:t xml:space="preserve">missingKeyShare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Replay control:</w:t>
      </w:r>
      <w:r>
        <w:t xml:space="preserve"> </w:t>
      </w:r>
      <w:r>
        <w:rPr>
          <w:rStyle w:val="VerbatimChar"/>
        </w:rPr>
        <w:t xml:space="preserve">handshakeId</w:t>
      </w:r>
      <w:r>
        <w:t xml:space="preserve"> </w:t>
      </w:r>
      <w:r>
        <w:t xml:space="preserve">is derived from nonces</w:t>
      </w:r>
      <w:r>
        <w:t xml:space="preserve"> </w:t>
      </w:r>
      <w:r>
        <w:t xml:space="preserve">and cached to reject duplicates within a window.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Downgrade resistance:</w:t>
      </w:r>
      <w:r>
        <w:t xml:space="preserve"> </w:t>
      </w:r>
      <w:r>
        <w:t xml:space="preserve">timeout-triggered fallback is</w:t>
      </w:r>
      <w:r>
        <w:t xml:space="preserve"> </w:t>
      </w:r>
      <w:r>
        <w:t xml:space="preserve">disallowed; only whitelisted errors may fallback under default policy;</w:t>
      </w:r>
      <w:r>
        <w:t xml:space="preserve"> </w:t>
      </w:r>
      <w:r>
        <w:t xml:space="preserve">strictPQC forbids all fallback.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per-peer fallback cooldown prevents rapid</w:t>
      </w:r>
      <w:r>
        <w:t xml:space="preserve"> </w:t>
      </w:r>
      <w:r>
        <w:t xml:space="preserve">downgrade cycling.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Legacy gating:</w:t>
      </w:r>
      <w:r>
        <w:t xml:space="preserve"> </w:t>
      </w:r>
      <w:r>
        <w:t xml:space="preserve">legacy P-256 acceptance requires an</w:t>
      </w:r>
      <w:r>
        <w:t xml:space="preserve"> </w:t>
      </w:r>
      <w:r>
        <w:t xml:space="preserve">authenticated channel or an existing trust record.</w:t>
      </w:r>
    </w:p>
    <w:p>
      <w:pPr>
        <w:pStyle w:val="FirstParagraph"/>
      </w:pPr>
      <w:r>
        <w:rPr>
          <w:b/>
          <w:bCs/>
        </w:rPr>
        <w:t xml:space="preserve">Trust Assumptions:</w:t>
      </w:r>
    </w:p>
    <w:p>
      <w:pPr>
        <w:numPr>
          <w:ilvl w:val="0"/>
          <w:numId w:val="1005"/>
        </w:numPr>
      </w:pPr>
      <w:r>
        <w:t xml:space="preserve">The initial pairing ceremony occurs over a trusted out-of-band</w:t>
      </w:r>
      <w:r>
        <w:t xml:space="preserve"> </w:t>
      </w:r>
      <w:r>
        <w:t xml:space="preserve">channel (e.g., visual PIN comparison on both device screens)</w:t>
      </w:r>
    </w:p>
    <w:p>
      <w:pPr>
        <w:numPr>
          <w:ilvl w:val="0"/>
          <w:numId w:val="1005"/>
        </w:numPr>
      </w:pPr>
      <w:r>
        <w:t xml:space="preserve">The device Keychain provides integrity guarantees for stored identity</w:t>
      </w:r>
      <w:r>
        <w:t xml:space="preserve"> </w:t>
      </w:r>
      <w:r>
        <w:t xml:space="preserve">keys</w:t>
      </w:r>
    </w:p>
    <w:p>
      <w:pPr>
        <w:numPr>
          <w:ilvl w:val="0"/>
          <w:numId w:val="1005"/>
        </w:numPr>
      </w:pPr>
      <w:r>
        <w:t xml:space="preserve">The Secure Enclave (when available) provides hardware-backed key</w:t>
      </w:r>
      <w:r>
        <w:t xml:space="preserve"> </w:t>
      </w:r>
      <w:r>
        <w:t xml:space="preserve">isolation that resists software-level extraction</w:t>
      </w:r>
    </w:p>
    <w:p>
      <w:pPr>
        <w:numPr>
          <w:ilvl w:val="0"/>
          <w:numId w:val="1005"/>
        </w:numPr>
      </w:pPr>
      <w:r>
        <w:t xml:space="preserve">Users can visually verify device identity during pairing (no blind</w:t>
      </w:r>
      <w:r>
        <w:t xml:space="preserve"> </w:t>
      </w:r>
      <w:r>
        <w:t xml:space="preserve">trust)</w:t>
      </w:r>
    </w:p>
    <w:p>
      <w:pPr>
        <w:pStyle w:val="FirstParagraph"/>
      </w:pPr>
      <w:r>
        <w:rPr>
          <w:b/>
          <w:bCs/>
        </w:rPr>
        <w:t xml:space="preserve">Out of Scope:</w:t>
      </w:r>
    </w:p>
    <w:p>
      <w:pPr>
        <w:numPr>
          <w:ilvl w:val="0"/>
          <w:numId w:val="1006"/>
        </w:numPr>
      </w:pPr>
      <w:r>
        <w:t xml:space="preserve">Side-channel attacks on cryptographic implementations</w:t>
      </w:r>
    </w:p>
    <w:p>
      <w:pPr>
        <w:numPr>
          <w:ilvl w:val="0"/>
          <w:numId w:val="1006"/>
        </w:numPr>
      </w:pPr>
      <w:r>
        <w:t xml:space="preserve">Physical attacks on Secure Enclave hardware</w:t>
      </w:r>
    </w:p>
    <w:p>
      <w:pPr>
        <w:numPr>
          <w:ilvl w:val="0"/>
          <w:numId w:val="1006"/>
        </w:numPr>
      </w:pPr>
      <w:r>
        <w:t xml:space="preserve">Compromise of the operating system kernel</w:t>
      </w:r>
    </w:p>
    <w:p>
      <w:pPr>
        <w:numPr>
          <w:ilvl w:val="0"/>
          <w:numId w:val="1006"/>
        </w:numPr>
      </w:pPr>
      <w:r>
        <w:t xml:space="preserve">Social engineering attacks on users</w:t>
      </w:r>
    </w:p>
    <w:bookmarkEnd w:id="19"/>
    <w:bookmarkStart w:id="25" w:name="a.2-protocol-message-flow"/>
    <w:p>
      <w:pPr>
        <w:pStyle w:val="Heading2"/>
      </w:pPr>
      <w:r>
        <w:t xml:space="preserve">Protocol Message</w:t>
      </w:r>
      <w:r>
        <w:t xml:space="preserve"> </w:t>
      </w:r>
      <w:r>
        <w:t xml:space="preserve">Flow</w:t>
      </w:r>
    </w:p>
    <w:p>
      <w:pPr>
        <w:pStyle w:val="FirstParagraph"/>
      </w:pPr>
      <w:r>
        <w:t xml:space="preserve">Fig. </w:t>
      </w:r>
      <w:hyperlink w:anchor="fig:handshake-sequenc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illustrates the handshake message sequence and transcript</w:t>
      </w:r>
      <w:r>
        <w:t xml:space="preserve"> </w:t>
      </w:r>
      <w:r>
        <w:t xml:space="preserve">coverage.</w:t>
      </w:r>
    </w:p>
    <w:bookmarkStart w:id="23" w:name="fig:handshake-sequence"/>
    <w:p>
      <w:pPr>
        <w:pStyle w:val="CaptionedFigure"/>
      </w:pPr>
      <w:r>
        <w:drawing>
          <wp:inline>
            <wp:extent cx="3009900" cy="25527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es/fig_handshake_sequence.pdf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Handshake sequence with transcript coverage and policy</w:t>
      </w:r>
      <w:r>
        <w:t xml:space="preserve"> </w:t>
      </w:r>
      <w:r>
        <w:t xml:space="preserve">visibility.</w:t>
      </w:r>
    </w:p>
    <w:bookmarkEnd w:id="23"/>
    <w:p>
      <w:pPr>
        <w:pStyle w:val="BodyText"/>
      </w:pPr>
      <w:r>
        <w:t xml:space="preserve">MessageA carries the</w:t>
      </w:r>
      <w:r>
        <w:t xml:space="preserve"> </w:t>
      </w:r>
      <w:r>
        <w:rPr>
          <w:rStyle w:val="VerbatimChar"/>
        </w:rPr>
        <w:t xml:space="preserve">supportedSuites[]</w:t>
      </w:r>
      <w:r>
        <w:t xml:space="preserve"> </w:t>
      </w:r>
      <w:r>
        <w:t xml:space="preserve">(offered suites) and</w:t>
      </w:r>
      <w:r>
        <w:t xml:space="preserve"> </w:t>
      </w:r>
      <w:r>
        <w:rPr>
          <w:rStyle w:val="VerbatimChar"/>
        </w:rPr>
        <w:t xml:space="preserve">keyShares[]</w:t>
      </w:r>
      <w:r>
        <w:t xml:space="preserve"> </w:t>
      </w:r>
      <w:r>
        <w:t xml:space="preserve">arrays (up to two entries to bound size); MessageB</w:t>
      </w:r>
      <w:r>
        <w:t xml:space="preserve"> </w:t>
      </w:r>
      <w:r>
        <w:t xml:space="preserve">selects a suite and binds MessageA via</w:t>
      </w:r>
      <w:r>
        <w:t xml:space="preserve"> </w:t>
      </w:r>
      <w:r>
        <w:rPr>
          <w:rStyle w:val="VerbatimChar"/>
        </w:rPr>
        <w:t xml:space="preserve">sigB</w:t>
      </w:r>
      <w:r>
        <w:t xml:space="preserve">. Both sides verify</w:t>
      </w:r>
      <w:r>
        <w:t xml:space="preserve"> </w:t>
      </w:r>
      <w:r>
        <w:t xml:space="preserve">that the selected suite was offered and that a matching key share</w:t>
      </w:r>
      <w:r>
        <w:t xml:space="preserve"> </w:t>
      </w:r>
      <w:r>
        <w:t xml:space="preserve">exists, preventing negotiation mismatch. Under the two-attempt strategy</w:t>
      </w:r>
      <w:r>
        <w:t xml:space="preserve"> </w:t>
      </w:r>
      <w:r>
        <w:t xml:space="preserve">(Section </w:t>
      </w:r>
      <w:hyperlink w:anchor="X77f04ca548229ee9227145add78bbe53a197970">
        <w:r>
          <w:rPr>
            <w:rStyle w:val="Hyperlink"/>
          </w:rPr>
          <w:t xml:space="preserve">5.7</w:t>
        </w:r>
      </w:hyperlink>
      <w:r>
        <w:t xml:space="preserve">),</w:t>
      </w:r>
      <w:r>
        <w:t xml:space="preserve"> </w:t>
      </w:r>
      <w:r>
        <w:t xml:space="preserve">PQC and classic are not co-offered in a single</w:t>
      </w:r>
      <w:r>
        <w:t xml:space="preserve"> </w:t>
      </w:r>
      <w:r>
        <w:rPr>
          <w:rStyle w:val="VerbatimChar"/>
        </w:rPr>
        <w:t xml:space="preserve">MessageA</w:t>
      </w:r>
      <w:r>
        <w:t xml:space="preserve">; when</w:t>
      </w:r>
      <w:r>
        <w:t xml:space="preserve"> </w:t>
      </w:r>
      <w:r>
        <w:t xml:space="preserve">fallback is permitted, the Initiator retries with a classic-only</w:t>
      </w:r>
      <w:r>
        <w:t xml:space="preserve"> </w:t>
      </w:r>
      <w:r>
        <w:rPr>
          <w:rStyle w:val="VerbatimChar"/>
        </w:rPr>
        <w:t xml:space="preserve">MessageA</w:t>
      </w:r>
      <w:r>
        <w:t xml:space="preserve"> </w:t>
      </w:r>
      <w:r>
        <w:t xml:space="preserve">after a whitelist of locally generated capability and</w:t>
      </w:r>
      <w:r>
        <w:t xml:space="preserve"> </w:t>
      </w:r>
      <w:r>
        <w:t xml:space="preserve">negotiation failures. Explicit key confirmation uses two small Finished</w:t>
      </w:r>
      <w:r>
        <w:t xml:space="preserve"> </w:t>
      </w:r>
      <w:r>
        <w:t xml:space="preserve">frames to avoid half-open state. Full wire-format definitions, field</w:t>
      </w:r>
      <w:r>
        <w:t xml:space="preserve"> </w:t>
      </w:r>
      <w:r>
        <w:t xml:space="preserve">validation rules, and encoding rationale appear in the Supplementary</w:t>
      </w:r>
      <w:r>
        <w:t xml:space="preserve"> </w:t>
      </w:r>
      <w:r>
        <w:t xml:space="preserve">Materials (Wire Format and Validation Rules).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Initiator attempt(s)</w:t>
            </w:r>
          </w:p>
        </w:tc>
        <w:tc>
          <w:tcPr/>
          <w:p>
            <w:pPr>
              <w:jc w:val="left"/>
            </w:pPr>
            <w:r>
              <w:t xml:space="preserve">Responder Capability</w:t>
            </w:r>
          </w:p>
        </w:tc>
        <w:tc>
          <w:tcPr/>
          <w:p>
            <w:pPr>
              <w:jc w:val="left"/>
            </w:pPr>
            <w:r>
              <w:t xml:space="preserve">Outcome</w:t>
            </w:r>
          </w:p>
        </w:tc>
        <w:tc>
          <w:tcPr/>
          <w:p>
            <w:pPr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Attempt 1: PQC-only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PQC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PQC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available 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Attempt 1: PQC-only; Attempt 2: classic-only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only (no PQC material)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Graceful fallback (evented)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PQC-only (</w:t>
            </w:r>
            <w:r>
              <w:rPr>
                <w:rStyle w:val="VerbatimChar"/>
              </w:rPr>
              <w:t xml:space="preserve">strictPQC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Handshake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enforced (no fallback)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PQC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Initiator policy respected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Failure Semantics:</w:t>
      </w:r>
    </w:p>
    <w:p>
      <w:pPr>
        <w:numPr>
          <w:ilvl w:val="0"/>
          <w:numId w:val="1007"/>
        </w:numPr>
      </w:pPr>
      <w:r>
        <w:t xml:space="preserve">All failures trigger</w:t>
      </w:r>
      <w:r>
        <w:t xml:space="preserve"> </w:t>
      </w:r>
      <w:r>
        <w:rPr>
          <w:rStyle w:val="VerbatimChar"/>
        </w:rPr>
        <w:t xml:space="preserve">HandshakeContext.</w:t>
      </w:r>
      <w:r>
        <w:br/>
      </w:r>
      <w:r>
        <w:rPr>
          <w:rStyle w:val="VerbatimChar"/>
        </w:rPr>
        <w:t xml:space="preserve">zeroize()</w:t>
      </w:r>
      <w:r>
        <w:t xml:space="preserve"> </w:t>
      </w:r>
      <w:r>
        <w:t xml:space="preserve">before error propagation</w:t>
      </w:r>
    </w:p>
    <w:p>
      <w:pPr>
        <w:numPr>
          <w:ilvl w:val="0"/>
          <w:numId w:val="1007"/>
        </w:numPr>
      </w:pPr>
      <w:r>
        <w:t xml:space="preserve">Security events are emitted for audit logging</w:t>
      </w:r>
    </w:p>
    <w:p>
      <w:pPr>
        <w:numPr>
          <w:ilvl w:val="0"/>
          <w:numId w:val="1007"/>
        </w:numPr>
      </w:pPr>
      <w:r>
        <w:t xml:space="preserve">No partial state is retained after failure</w:t>
      </w:r>
    </w:p>
    <w:bookmarkStart w:id="24" w:name="fig:architectur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SkyBridge Compass system architecture showing device-local trust</w:t>
      </w:r>
      <w:r>
        <w:t xml:space="preserve"> </w:t>
      </w:r>
      <w:r>
        <w:t xml:space="preserve">boundary (dashed) and policy guard (diamond).</w:t>
      </w:r>
    </w:p>
    <w:bookmarkEnd w:id="24"/>
    <w:bookmarkEnd w:id="25"/>
    <w:bookmarkStart w:id="26" w:name="b.-cryptoprovider-protocol"/>
    <w:p>
      <w:pPr>
        <w:pStyle w:val="Heading2"/>
      </w:pPr>
      <w:r>
        <w:t xml:space="preserve">CryptoProvider</w:t>
      </w:r>
      <w:r>
        <w:t xml:space="preserve"> </w:t>
      </w:r>
      <w:r>
        <w:t xml:space="preserve">Protocol</w:t>
      </w:r>
    </w:p>
    <w:p>
      <w:pPr>
        <w:pStyle w:val="FirstParagraph"/>
      </w:pPr>
      <w:r>
        <w:t xml:space="preserve">The CryptoProvider protocol defines a unified interface for all</w:t>
      </w:r>
      <w:r>
        <w:t xml:space="preserve"> </w:t>
      </w:r>
      <w:r>
        <w:t xml:space="preserve">cryptographic operations required by the handshake and session layers</w:t>
      </w:r>
      <w:r>
        <w:t xml:space="preserve"> </w:t>
      </w:r>
      <w:r>
        <w:t xml:space="preserve">.</w:t>
      </w:r>
      <w:r>
        <w:t xml:space="preserve"> </w:t>
      </w:r>
      <w:r>
        <w:t xml:space="preserve">This abstraction enables transparent substitution of underlying</w:t>
      </w:r>
      <w:r>
        <w:t xml:space="preserve"> </w:t>
      </w:r>
      <w:r>
        <w:t xml:space="preserve">implementations without modifying caller code.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SigningKeyHandle</w:t>
      </w:r>
      <w:r>
        <w:t xml:space="preserve"> </w:t>
      </w:r>
      <w:r>
        <w:t xml:space="preserve">abstraction resolves the apparent conflict</w:t>
      </w:r>
      <w:r>
        <w:t xml:space="preserve"> </w:t>
      </w:r>
      <w:r>
        <w:t xml:space="preserve">between</w:t>
      </w:r>
      <w:r>
        <w:t xml:space="preserve"> </w:t>
      </w:r>
      <w:r>
        <w:t xml:space="preserve">“private key as Data”</w:t>
      </w:r>
      <w:r>
        <w:t xml:space="preserve"> </w:t>
      </w:r>
      <w:r>
        <w:t xml:space="preserve">and</w:t>
      </w:r>
      <w:r>
        <w:t xml:space="preserve"> </w:t>
      </w:r>
      <w:r>
        <w:t xml:space="preserve">“Secure Enclave keys never leave</w:t>
      </w:r>
      <w:r>
        <w:t xml:space="preserve"> </w:t>
      </w:r>
      <w:r>
        <w:t xml:space="preserve">hardware.”</w:t>
      </w:r>
      <w:r>
        <w:t xml:space="preserve"> </w:t>
      </w:r>
      <w:r>
        <w:t xml:space="preserve">Software keys are one variant; hardware-backed keys use a</w:t>
      </w:r>
      <w:r>
        <w:t xml:space="preserve"> </w:t>
      </w:r>
      <w:r>
        <w:t xml:space="preserve">reference or callback, ensuring the protocol interface does not assume</w:t>
      </w:r>
      <w:r>
        <w:t xml:space="preserve"> </w:t>
      </w:r>
      <w:r>
        <w:t xml:space="preserve">exportability.</w:t>
      </w:r>
    </w:p>
    <w:p>
      <w:pPr>
        <w:pStyle w:val="BodyText"/>
      </w:pPr>
      <w:r>
        <w:t xml:space="preserve">The protocol mandates</w:t>
      </w:r>
      <w:r>
        <w:t xml:space="preserve"> </w:t>
      </w:r>
      <w:r>
        <w:rPr>
          <w:rStyle w:val="VerbatimChar"/>
        </w:rPr>
        <w:t xml:space="preserve">Sendable</w:t>
      </w:r>
      <w:r>
        <w:t xml:space="preserve"> </w:t>
      </w:r>
      <w:r>
        <w:t xml:space="preserve">conformance, ensuring</w:t>
      </w:r>
      <w:r>
        <w:t xml:space="preserve"> </w:t>
      </w:r>
      <w:r>
        <w:t xml:space="preserve">thread-safe usage across Swift’s structured concurrency model. Each</w:t>
      </w:r>
      <w:r>
        <w:t xml:space="preserve"> </w:t>
      </w:r>
      <w:r>
        <w:t xml:space="preserve">provider exposes its tier classification (</w:t>
      </w:r>
      <w:r>
        <w:rPr>
          <w:rStyle w:val="VerbatimChar"/>
        </w:rPr>
        <w:t xml:space="preserve">nativePQC</w:t>
      </w:r>
      <w:r>
        <w:t xml:space="preserve">,</w:t>
      </w:r>
      <w:r>
        <w:t xml:space="preserve"> </w:t>
      </w:r>
      <w:r>
        <w:rPr>
          <w:rStyle w:val="VerbatimChar"/>
        </w:rPr>
        <w:t xml:space="preserve">liboqsPQC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classic</w:t>
      </w:r>
      <w:r>
        <w:t xml:space="preserve">) and active cipher suite,</w:t>
      </w:r>
      <w:r>
        <w:t xml:space="preserve"> </w:t>
      </w:r>
      <w:r>
        <w:t xml:space="preserve">enabling runtime introspection for logging and policy enforcement.</w:t>
      </w:r>
    </w:p>
    <w:bookmarkEnd w:id="26"/>
    <w:bookmarkStart w:id="27" w:name="c.-cryptosuite-wire-format"/>
    <w:p>
      <w:pPr>
        <w:pStyle w:val="Heading2"/>
      </w:pPr>
      <w:r>
        <w:t xml:space="preserve">CryptoSuite Wire</w:t>
      </w:r>
      <w:r>
        <w:t xml:space="preserve"> </w:t>
      </w:r>
      <w:r>
        <w:t xml:space="preserve">Format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suite</w:t>
      </w:r>
      <w:r>
        <w:t xml:space="preserve"> </w:t>
      </w:r>
      <w:r>
        <w:t xml:space="preserve">defines the handshake tuple</w:t>
      </w:r>
      <w:r>
        <w:t xml:space="preserve"> </w:t>
      </w:r>
      <w:r>
        <w:rPr>
          <w:rStyle w:val="VerbatimChar"/>
        </w:rPr>
        <w:t xml:space="preserve">(KEM, SIG, AEAD, KDF)</w:t>
      </w:r>
      <w:r>
        <w:t xml:space="preserve"> </w:t>
      </w:r>
      <w:r>
        <w:t xml:space="preserve">used for the KEM-DEM envelope and</w:t>
      </w:r>
      <w:r>
        <w:t xml:space="preserve"> </w:t>
      </w:r>
      <w:r>
        <w:t xml:space="preserve">transcript binding. Data-plane AEAD is negotiated separately and is</w:t>
      </w:r>
      <w:r>
        <w:t xml:space="preserve"> </w:t>
      </w:r>
      <w:r>
        <w:t xml:space="preserve">fixed to AES-256-GCM in v1 (Table </w:t>
      </w:r>
      <w:hyperlink w:anchor="tab:aead-mapping">
        <w:r>
          <w:rPr>
            <w:rStyle w:val="Hyperlink"/>
          </w:rPr>
          <w:t xml:space="preserve">1</w:t>
        </w:r>
      </w:hyperlink>
      <w:r>
        <w:t xml:space="preserve">). Suite identifiers use a compact</w:t>
      </w:r>
      <w:r>
        <w:t xml:space="preserve"> </w:t>
      </w:r>
      <w:r>
        <w:t xml:space="preserve">16-bit wire ID with reserved ranges for hybrid, PQC, classic, and</w:t>
      </w:r>
      <w:r>
        <w:t xml:space="preserve"> </w:t>
      </w:r>
      <w:r>
        <w:t xml:space="preserve">experimental suites to enable forward compatibility. The full range</w:t>
      </w:r>
      <w:r>
        <w:t xml:space="preserve"> </w:t>
      </w:r>
      <w:r>
        <w:t xml:space="preserve">table, encoding rules, and X-Wing notes appear in the Supplementary</w:t>
      </w:r>
      <w:r>
        <w:t xml:space="preserve"> </w:t>
      </w:r>
      <w:r>
        <w:t xml:space="preserve">Materials (Suite Identifiers and Wire Format). Unknown suite identifiers</w:t>
      </w:r>
      <w:r>
        <w:t xml:space="preserve"> </w:t>
      </w:r>
      <w:r>
        <w:t xml:space="preserve">are parsed as</w:t>
      </w:r>
      <w:r>
        <w:t xml:space="preserve"> </w:t>
      </w:r>
      <w:r>
        <w:rPr>
          <w:rStyle w:val="VerbatimChar"/>
        </w:rPr>
        <w:t xml:space="preserve">unknown(wireId)</w:t>
      </w:r>
      <w:r>
        <w:t xml:space="preserve"> </w:t>
      </w:r>
      <w:r>
        <w:t xml:space="preserve">for audit visibility and forward</w:t>
      </w:r>
      <w:r>
        <w:t xml:space="preserve"> </w:t>
      </w:r>
      <w:r>
        <w:t xml:space="preserve">compatibility; negotiation rejects unknown values if they appear in</w:t>
      </w:r>
      <w:r>
        <w:t xml:space="preserve"> </w:t>
      </w:r>
      <w:r>
        <w:rPr>
          <w:rStyle w:val="VerbatimChar"/>
        </w:rPr>
        <w:t xml:space="preserve">keyShares</w:t>
      </w:r>
      <w:r>
        <w:t xml:space="preserve"> </w:t>
      </w:r>
      <w:r>
        <w:t xml:space="preserve">or as</w:t>
      </w:r>
      <w:r>
        <w:t xml:space="preserve"> </w:t>
      </w:r>
      <w:r>
        <w:rPr>
          <w:rStyle w:val="VerbatimChar"/>
        </w:rPr>
        <w:t xml:space="preserve">selectedSuite</w:t>
      </w:r>
      <w:r>
        <w:t xml:space="preserve">.</w:t>
      </w:r>
    </w:p>
    <w:bookmarkEnd w:id="27"/>
    <w:bookmarkStart w:id="28" w:name="d.-provider-factory-and-selection"/>
    <w:p>
      <w:pPr>
        <w:pStyle w:val="Heading2"/>
      </w:pPr>
      <w:r>
        <w:t xml:space="preserve">Provider Factory and</w:t>
      </w:r>
      <w:r>
        <w:t xml:space="preserve"> </w:t>
      </w:r>
      <w:r>
        <w:t xml:space="preserve">Selection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CryptoProviderFactory</w:t>
      </w:r>
      <w:r>
        <w:t xml:space="preserve"> </w:t>
      </w:r>
      <w:r>
        <w:t xml:space="preserve">implements deterministic provider</w:t>
      </w:r>
      <w:r>
        <w:t xml:space="preserve"> </w:t>
      </w:r>
      <w:r>
        <w:t xml:space="preserve">selection based on runtime capability detection and policy</w:t>
      </w:r>
      <w:r>
        <w:t xml:space="preserve"> </w:t>
      </w:r>
      <w:r>
        <w:t xml:space="preserve">configuration:</w:t>
      </w:r>
    </w:p>
    <w:p>
      <w:pPr>
        <w:pStyle w:val="BodyText"/>
      </w:pPr>
      <w:r>
        <w:t xml:space="preserve">The selection algorithm proceeds as follows: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Capability Detection:</w:t>
      </w:r>
      <w:r>
        <w:t xml:space="preserve"> </w:t>
      </w:r>
      <w:r>
        <w:t xml:space="preserve">Query the environment for native PQC</w:t>
      </w:r>
      <w:r>
        <w:t xml:space="preserve"> </w:t>
      </w:r>
      <w:r>
        <w:t xml:space="preserve">availability and liboqs presence.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Policy Application:</w:t>
      </w:r>
      <w:r>
        <w:t xml:space="preserve"> </w:t>
      </w:r>
      <w:r>
        <w:t xml:space="preserve">Match detected capabilities against the</w:t>
      </w:r>
      <w:r>
        <w:t xml:space="preserve"> </w:t>
      </w:r>
      <w:r>
        <w:t xml:space="preserve">requested policy.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Provider Instantiation:</w:t>
      </w:r>
      <w:r>
        <w:t xml:space="preserve"> </w:t>
      </w:r>
      <w:r>
        <w:t xml:space="preserve">Create the appropriate provider</w:t>
      </w:r>
      <w:r>
        <w:t xml:space="preserve"> </w:t>
      </w:r>
      <w:r>
        <w:t xml:space="preserve">instance for the detected environment and policy.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Event Emission:</w:t>
      </w:r>
      <w:r>
        <w:t xml:space="preserve"> </w:t>
      </w:r>
      <w:r>
        <w:t xml:space="preserve">Emit a</w:t>
      </w:r>
      <w:r>
        <w:t xml:space="preserve"> </w:t>
      </w:r>
      <w:r>
        <w:rPr>
          <w:rStyle w:val="VerbatimChar"/>
        </w:rPr>
        <w:t xml:space="preserve">SecurityEvent</w:t>
      </w:r>
      <w:r>
        <w:t xml:space="preserve"> </w:t>
      </w:r>
      <w:r>
        <w:t xml:space="preserve">recording the</w:t>
      </w:r>
      <w:r>
        <w:t xml:space="preserve"> </w:t>
      </w:r>
      <w:r>
        <w:t xml:space="preserve">selection decision.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preferPQC</w:t>
      </w:r>
      <w:r>
        <w:t xml:space="preserve"> </w:t>
      </w:r>
      <w:r>
        <w:t xml:space="preserve">policy, the precedence order is</w:t>
      </w:r>
      <w:r>
        <w:t xml:space="preserve"> </w:t>
      </w:r>
      <w:r>
        <w:rPr>
          <w:rStyle w:val="VerbatimChar"/>
        </w:rPr>
        <w:t xml:space="preserve">ApplePQCProvider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OQSPQCProvider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ClassicProvider</w:t>
      </w:r>
      <w:r>
        <w:t xml:space="preserve">. This order is deterministic. The</w:t>
      </w:r>
      <w:r>
        <w:t xml:space="preserve"> </w:t>
      </w:r>
      <w:r>
        <w:rPr>
          <w:rStyle w:val="VerbatimChar"/>
        </w:rPr>
        <w:t xml:space="preserve">requirePQC</w:t>
      </w:r>
      <w:r>
        <w:t xml:space="preserve"> </w:t>
      </w:r>
      <w:r>
        <w:t xml:space="preserve">policy returns an</w:t>
      </w:r>
      <w:r>
        <w:t xml:space="preserve"> </w:t>
      </w:r>
      <w:r>
        <w:rPr>
          <w:rStyle w:val="VerbatimChar"/>
        </w:rPr>
        <w:t xml:space="preserve">UnavailablePQCProvider</w:t>
      </w:r>
      <w:r>
        <w:t xml:space="preserve">. It</w:t>
      </w:r>
      <w:r>
        <w:t xml:space="preserve"> </w:t>
      </w:r>
      <w:r>
        <w:t xml:space="preserve">throws on all operations if no PQC implementation is available.</w:t>
      </w:r>
    </w:p>
    <w:p>
      <w:pPr>
        <w:pStyle w:val="BodyText"/>
      </w:pPr>
      <w:r>
        <w:rPr>
          <w:b/>
          <w:bCs/>
        </w:rPr>
        <w:t xml:space="preserve">Terminology alignment.</w:t>
      </w:r>
      <w:r>
        <w:t xml:space="preserve"> </w:t>
      </w:r>
      <w:r>
        <w:t xml:space="preserve">We use two orthogonal knobs: provider selection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preferPQC</w:t>
      </w:r>
      <w:r>
        <w:t xml:space="preserve">/</w:t>
      </w:r>
      <w:r>
        <w:rPr>
          <w:rStyle w:val="VerbatimChar"/>
        </w:rPr>
        <w:t xml:space="preserve">requirePQC</w:t>
      </w:r>
      <w:r>
        <w:t xml:space="preserve">) and handshake fallback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default</w:t>
      </w:r>
      <w:r>
        <w:t xml:space="preserve">/</w:t>
      </w:r>
      <w:r>
        <w:rPr>
          <w:rStyle w:val="VerbatimChar"/>
        </w:rPr>
        <w:t xml:space="preserve">strictPQC</w:t>
      </w:r>
      <w:r>
        <w:t xml:space="preserve">). In our evaluation,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corresponds to prefer-PQC with evented classic fallback permitted, while</w:t>
      </w:r>
      <w:r>
        <w:t xml:space="preserve"> </w:t>
      </w:r>
      <w:r>
        <w:rPr>
          <w:rStyle w:val="VerbatimChar"/>
        </w:rPr>
        <w:t xml:space="preserve">strictPQC</w:t>
      </w:r>
      <w:r>
        <w:t xml:space="preserve"> </w:t>
      </w:r>
      <w:r>
        <w:t xml:space="preserve">corresponds to requiring PQC and forbidding fallback.</w:t>
      </w:r>
    </w:p>
    <w:bookmarkEnd w:id="28"/>
    <w:bookmarkStart w:id="29" w:name="X10598e60a2d37a8e5ef03eeed849fd15035e643"/>
    <w:p>
      <w:pPr>
        <w:pStyle w:val="Heading2"/>
      </w:pPr>
      <w:r>
        <w:t xml:space="preserve">KEM-DEM Authenticated Encryption</w:t>
      </w:r>
      <w:r>
        <w:t xml:space="preserve"> </w:t>
      </w:r>
      <w:r>
        <w:t xml:space="preserve">Format</w:t>
      </w:r>
    </w:p>
    <w:p>
      <w:pPr>
        <w:pStyle w:val="FirstParagraph"/>
      </w:pPr>
      <w:r>
        <w:t xml:space="preserve">We use a KEM-DEM envelope (KEM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HKDF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AEAD) as</w:t>
      </w:r>
      <w:r>
        <w:t xml:space="preserve"> </w:t>
      </w:r>
      <w:r>
        <w:t xml:space="preserve">a compatibility layer when native HPKE is unavailable, binding role and</w:t>
      </w:r>
      <w:r>
        <w:t xml:space="preserve"> </w:t>
      </w:r>
      <w:r>
        <w:t xml:space="preserve">transcript into the key schedule with explicit length limits for DoS</w:t>
      </w:r>
      <w:r>
        <w:t xml:space="preserve"> </w:t>
      </w:r>
      <w:r>
        <w:t xml:space="preserve">protection. On Apple 26+ platforms, we use native CryptoKit PQC</w:t>
      </w:r>
      <w:r>
        <w:t xml:space="preserve"> </w:t>
      </w:r>
      <w:r>
        <w:t xml:space="preserve">primitives (ML-KEM/ML-DSA) within the same envelope to preserve a single</w:t>
      </w:r>
      <w:r>
        <w:t xml:space="preserve"> </w:t>
      </w:r>
      <w:r>
        <w:t xml:space="preserve">wire format across platforms. Full header/body formats, versioning, and</w:t>
      </w:r>
      <w:r>
        <w:t xml:space="preserve"> </w:t>
      </w:r>
      <w:r>
        <w:t xml:space="preserve">length limits are provided in the Supplementary Materials (KEM-DEM</w:t>
      </w:r>
      <w:r>
        <w:t xml:space="preserve"> </w:t>
      </w:r>
      <w:r>
        <w:t xml:space="preserve">Envelope).</w:t>
      </w:r>
    </w:p>
    <w:bookmarkEnd w:id="29"/>
    <w:bookmarkEnd w:id="30"/>
    <w:bookmarkStart w:id="38" w:name="sec:handshake-state-machine"/>
    <w:p>
      <w:pPr>
        <w:pStyle w:val="Heading1"/>
      </w:pPr>
      <w:r>
        <w:t xml:space="preserve">HANDSHAKE STATE</w:t>
      </w:r>
      <w:r>
        <w:t xml:space="preserve"> </w:t>
      </w:r>
      <w:r>
        <w:t xml:space="preserve">MACHINE</w:t>
      </w:r>
    </w:p>
    <w:bookmarkStart w:id="31" w:name="a.-design-principles"/>
    <w:p>
      <w:pPr>
        <w:pStyle w:val="Heading2"/>
      </w:pPr>
      <w:r>
        <w:t xml:space="preserve">Design Principles</w:t>
      </w:r>
    </w:p>
    <w:p>
      <w:pPr>
        <w:pStyle w:val="FirstParagraph"/>
      </w:pPr>
      <w:r>
        <w:t xml:space="preserve">The handshake subsystem addresses three critical requirements: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Race Condition Prevention:</w:t>
      </w:r>
      <w:r>
        <w:t xml:space="preserve"> </w:t>
      </w:r>
      <w:r>
        <w:t xml:space="preserve">Concurrent message arrival and</w:t>
      </w:r>
      <w:r>
        <w:t xml:space="preserve"> </w:t>
      </w:r>
      <w:r>
        <w:t xml:space="preserve">timeout expiration must not cause double-resume of continuations.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Sensitive Material Protection:</w:t>
      </w:r>
      <w:r>
        <w:t xml:space="preserve"> </w:t>
      </w:r>
      <w:r>
        <w:t xml:space="preserve">Ephemeral private keys and</w:t>
      </w:r>
      <w:r>
        <w:t xml:space="preserve"> </w:t>
      </w:r>
      <w:r>
        <w:t xml:space="preserve">shared secrets must be zeroized on all exit paths.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Observability:</w:t>
      </w:r>
      <w:r>
        <w:t xml:space="preserve"> </w:t>
      </w:r>
      <w:r>
        <w:t xml:space="preserve">All state transitions and failures must emit</w:t>
      </w:r>
      <w:r>
        <w:t xml:space="preserve"> </w:t>
      </w:r>
      <w:r>
        <w:t xml:space="preserve">structured events.</w:t>
      </w:r>
    </w:p>
    <w:bookmarkEnd w:id="31"/>
    <w:bookmarkStart w:id="32" w:name="b.-actor-isolated-architecture"/>
    <w:p>
      <w:pPr>
        <w:pStyle w:val="Heading2"/>
      </w:pPr>
      <w:r>
        <w:t xml:space="preserve">Actor-Isolated</w:t>
      </w:r>
      <w:r>
        <w:t xml:space="preserve"> </w:t>
      </w:r>
      <w:r>
        <w:t xml:space="preserve">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HandshakeDriver</w:t>
      </w:r>
      <w:r>
        <w:t xml:space="preserve"> </w:t>
      </w:r>
      <w:r>
        <w:t xml:space="preserve">actor manages handshake state with</w:t>
      </w:r>
      <w:r>
        <w:t xml:space="preserve"> </w:t>
      </w:r>
      <w:r>
        <w:t xml:space="preserve">compile-time data race prevention: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HandshakeContext</w:t>
      </w:r>
      <w:r>
        <w:t xml:space="preserve"> </w:t>
      </w:r>
      <w:r>
        <w:t xml:space="preserve">actor isolates sensitive cryptographic</w:t>
      </w:r>
      <w:r>
        <w:t xml:space="preserve"> </w:t>
      </w:r>
      <w:r>
        <w:t xml:space="preserve">material:</w:t>
      </w:r>
    </w:p>
    <w:p>
      <w:pPr>
        <w:pStyle w:val="BodyText"/>
      </w:pPr>
      <w:r>
        <w:rPr>
          <w:b/>
          <w:bCs/>
        </w:rPr>
        <w:t xml:space="preserve">Reentrancy Considerations.</w:t>
      </w:r>
      <w:r>
        <w:t xml:space="preserve"> </w:t>
      </w:r>
      <w:r>
        <w:t xml:space="preserve">Swift actors permit method re-entry</w:t>
      </w:r>
      <w:r>
        <w:t xml:space="preserve"> </w:t>
      </w:r>
      <w:r>
        <w:t xml:space="preserve">at suspension points (</w:t>
      </w:r>
      <w:r>
        <w:rPr>
          <w:rStyle w:val="VerbatimChar"/>
        </w:rPr>
        <w:t xml:space="preserve">await</w:t>
      </w:r>
      <w:r>
        <w:t xml:space="preserve">). While actor isolation prevents</w:t>
      </w:r>
      <w:r>
        <w:t xml:space="preserve"> </w:t>
      </w:r>
      <w:r>
        <w:t xml:space="preserve">data races, it does not prevent interleaving of method executions. Our</w:t>
      </w:r>
      <w:r>
        <w:t xml:space="preserve"> </w:t>
      </w:r>
      <w:r>
        <w:rPr>
          <w:rStyle w:val="VerbatimChar"/>
        </w:rPr>
        <w:t xml:space="preserve">HandshakeDriver</w:t>
      </w:r>
      <w:r>
        <w:t xml:space="preserve"> </w:t>
      </w:r>
      <w:r>
        <w:t xml:space="preserve">mitigates reentrancy risks by routing completion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finishOnce(with:)</w:t>
      </w:r>
      <w:r>
        <w:t xml:space="preserve">, buffering early results, canceling</w:t>
      </w:r>
      <w:r>
        <w:t xml:space="preserve"> </w:t>
      </w:r>
      <w:r>
        <w:t xml:space="preserve">timeouts on completion, and advancing state before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points.</w:t>
      </w:r>
    </w:p>
    <w:p>
      <w:pPr>
        <w:pStyle w:val="BodyText"/>
      </w:pPr>
      <w:r>
        <w:rPr>
          <w:b/>
          <w:bCs/>
        </w:rPr>
        <w:t xml:space="preserve">Await-window limitation.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handleMessageB</w:t>
      </w:r>
      <w:r>
        <w:t xml:space="preserve"> </w:t>
      </w:r>
      <w:r>
        <w:t xml:space="preserve">method awaits</w:t>
      </w:r>
      <w:r>
        <w:t xml:space="preserve"> </w:t>
      </w:r>
      <w:r>
        <w:rPr>
          <w:rStyle w:val="VerbatimChar"/>
        </w:rPr>
        <w:t xml:space="preserve">cryptoProvider</w:t>
      </w:r>
      <w:r>
        <w:t xml:space="preserve"> </w:t>
      </w:r>
      <w:r>
        <w:t xml:space="preserve">operations</w:t>
      </w:r>
      <w:r>
        <w:t xml:space="preserve"> </w:t>
      </w:r>
      <w:r>
        <w:t xml:space="preserve">inside the actor. If a new message arrives during this await, the actor</w:t>
      </w:r>
      <w:r>
        <w:t xml:space="preserve"> </w:t>
      </w:r>
      <w:r>
        <w:t xml:space="preserve">could theoretically process it before the current operation completes.</w:t>
      </w:r>
      <w:r>
        <w:t xml:space="preserve"> </w:t>
      </w:r>
      <w:r>
        <w:t xml:space="preserve">We mitigate this by advancing state to</w:t>
      </w:r>
      <w:r>
        <w:t xml:space="preserve"> </w:t>
      </w:r>
      <w:r>
        <w:rPr>
          <w:rStyle w:val="VerbatimChar"/>
        </w:rPr>
        <w:t xml:space="preserve">.processingMessageB</w:t>
      </w:r>
      <w:r>
        <w:t xml:space="preserve"> </w:t>
      </w:r>
      <w:r>
        <w:t xml:space="preserve">before the await, copying immutable inputs, validating a monotonic epoch</w:t>
      </w:r>
      <w:r>
        <w:t xml:space="preserve"> </w:t>
      </w:r>
      <w:r>
        <w:t xml:space="preserve">counter after resumption, and emitting security events on unexpected</w:t>
      </w:r>
      <w:r>
        <w:t xml:space="preserve"> </w:t>
      </w:r>
      <w:r>
        <w:t xml:space="preserve">transitions.</w:t>
      </w:r>
    </w:p>
    <w:p>
      <w:pPr>
        <w:pStyle w:val="BodyText"/>
      </w:pPr>
      <w:r>
        <w:t xml:space="preserve">This approach provides structural protection against reentrancy hazards</w:t>
      </w:r>
      <w:r>
        <w:t xml:space="preserve"> </w:t>
      </w:r>
      <w:r>
        <w:t xml:space="preserve">rather than relying on timing assumptions. A formal analysis using model</w:t>
      </w:r>
      <w:r>
        <w:t xml:space="preserve"> </w:t>
      </w:r>
      <w:r>
        <w:t xml:space="preserve">checking is planned for future work.</w:t>
      </w:r>
    </w:p>
    <w:bookmarkEnd w:id="32"/>
    <w:bookmarkStart w:id="34" w:name="c.-state-transitions"/>
    <w:p>
      <w:pPr>
        <w:pStyle w:val="Heading2"/>
      </w:pPr>
      <w:r>
        <w:t xml:space="preserve">State Transitions</w:t>
      </w:r>
    </w:p>
    <w:p>
      <w:pPr>
        <w:pStyle w:val="FirstParagraph"/>
      </w:pPr>
      <w:r>
        <w:t xml:space="preserve">Fig. </w:t>
      </w:r>
      <w:hyperlink w:anchor="fig:state-machine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illustrates the handshake state machine for both roles.</w:t>
      </w:r>
    </w:p>
    <w:bookmarkStart w:id="33" w:name="fig:state-machines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Handshake state machines for Initiator (top) and Responder</w:t>
      </w:r>
      <w:r>
        <w:t xml:space="preserve"> </w:t>
      </w:r>
      <w:r>
        <w:t xml:space="preserve">(bottom).</w:t>
      </w:r>
    </w:p>
    <w:bookmarkEnd w:id="33"/>
    <w:bookmarkEnd w:id="34"/>
    <w:bookmarkStart w:id="35" w:name="d.-double-resume-prevention"/>
    <w:p>
      <w:pPr>
        <w:pStyle w:val="Heading2"/>
      </w:pPr>
      <w:r>
        <w:t xml:space="preserve">Double-Resume</w:t>
      </w:r>
      <w:r>
        <w:t xml:space="preserve"> </w:t>
      </w:r>
      <w:r>
        <w:t xml:space="preserve">Prevention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finishOnce</w:t>
      </w:r>
      <w:r>
        <w:t xml:space="preserve"> </w:t>
      </w:r>
      <w:r>
        <w:t xml:space="preserve">method provides a single convergence point for handshake completion, handling the race between timeout expiration and message arrival by: (1) canceling the timeout task on any completion, (2) guarding continuation access with immediate nil assignment, and (3) buffering early results for late continuation establishment.</w:t>
      </w:r>
    </w:p>
    <w:bookmarkEnd w:id="35"/>
    <w:bookmarkStart w:id="36" w:name="e.-secure-zeroization"/>
    <w:p>
      <w:pPr>
        <w:pStyle w:val="Heading2"/>
      </w:pPr>
      <w:r>
        <w:t xml:space="preserve">Secure Zeroization</w:t>
      </w:r>
    </w:p>
    <w:p>
      <w:pPr>
        <w:pStyle w:val="FirstParagraph"/>
      </w:pPr>
      <w:r>
        <w:t xml:space="preserve">Swift’s standard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t xml:space="preserve">types use copy-on-write (COW) semantics, which can leave uncontrolled copies of sensitive material in memory. The</w:t>
      </w:r>
      <w:r>
        <w:t xml:space="preserve"> </w:t>
      </w:r>
      <w:r>
        <w:rPr>
          <w:rStyle w:val="VerbatimChar"/>
        </w:rPr>
        <w:t xml:space="preserve">SecureBytes</w:t>
      </w:r>
      <w:r>
        <w:t xml:space="preserve"> </w:t>
      </w:r>
      <w:r>
        <w:t xml:space="preserve">class addresses this by using manual</w:t>
      </w:r>
      <w:r>
        <w:t xml:space="preserve"> </w:t>
      </w:r>
      <w:r>
        <w:rPr>
          <w:rStyle w:val="VerbatimChar"/>
        </w:rPr>
        <w:t xml:space="preserve">UnsafeMutableRawPointer</w:t>
      </w:r>
      <w:r>
        <w:t xml:space="preserve"> </w:t>
      </w:r>
      <w:r>
        <w:t xml:space="preserve">allocation to maintain exclusive ownership, preventing COW-induced secret proliferation. All failure paths explicitly call</w:t>
      </w:r>
      <w:r>
        <w:t xml:space="preserve"> </w:t>
      </w:r>
      <w:r>
        <w:rPr>
          <w:rStyle w:val="VerbatimChar"/>
        </w:rPr>
        <w:t xml:space="preserve">context.zeroize()</w:t>
      </w:r>
      <w:r>
        <w:t xml:space="preserve"> </w:t>
      </w:r>
      <w:r>
        <w:t xml:space="preserve">before error propagation, with</w:t>
      </w:r>
      <w:r>
        <w:t xml:space="preserve"> </w:t>
      </w:r>
      <w:r>
        <w:rPr>
          <w:rStyle w:val="VerbatimChar"/>
        </w:rPr>
        <w:t xml:space="preserve">deinit</w:t>
      </w:r>
      <w:r>
        <w:t xml:space="preserve"> </w:t>
      </w:r>
      <w:r>
        <w:t xml:space="preserve">zeroization as defense-in-depth. On Darwin platforms, zeroization uses platform-supported secure wipe primitives (e.g.,</w:t>
      </w:r>
      <w:r>
        <w:t xml:space="preserve"> </w:t>
      </w:r>
      <w:r>
        <w:rPr>
          <w:rStyle w:val="VerbatimChar"/>
        </w:rPr>
        <w:t xml:space="preserve">explicit_bzero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memset_s</w:t>
      </w:r>
      <w:r>
        <w:t xml:space="preserve">) where available. We avoid exporting secrets as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when possible, but acknowledge that OS-level snapshots, API boundary copies, or privileged inspection can still retain residues; zeroization is a defense-in-depth measure rather than a sole security boundary.</w:t>
      </w:r>
    </w:p>
    <w:bookmarkEnd w:id="36"/>
    <w:bookmarkStart w:id="37" w:name="Xe36075961b50e2c760e6df6e97424fdc2a05679"/>
    <w:p>
      <w:pPr>
        <w:pStyle w:val="Heading2"/>
      </w:pPr>
      <w:r>
        <w:t xml:space="preserve">Transcript Binding and Signature</w:t>
      </w:r>
      <w:r>
        <w:t xml:space="preserve"> </w:t>
      </w:r>
      <w:r>
        <w:t xml:space="preserve">Separation</w:t>
      </w:r>
    </w:p>
    <w:p>
      <w:pPr>
        <w:pStyle w:val="FirstParagraph"/>
      </w:pPr>
      <w:r>
        <w:t xml:space="preserve">The protocol uses domain-separated signatures to prevent cross-message</w:t>
      </w:r>
      <w:r>
        <w:t xml:space="preserve"> </w:t>
      </w:r>
      <w:r>
        <w:t xml:space="preserve">and cross-session replay attacks.</w:t>
      </w:r>
    </w:p>
    <w:p>
      <w:pPr>
        <w:pStyle w:val="BodyText"/>
      </w:pPr>
      <w:r>
        <w:rPr>
          <w:b/>
          <w:bCs/>
        </w:rPr>
        <w:t xml:space="preserve">Signature A (MessageA)</w:t>
      </w:r>
      <w:r>
        <w:t xml:space="preserve"> </w:t>
      </w:r>
      <w:r>
        <w:t xml:space="preserve">is computed by the Initiator over the</w:t>
      </w:r>
      <w:r>
        <w:t xml:space="preserve"> </w:t>
      </w:r>
      <w:r>
        <w:t xml:space="preserve">MessageA-local fields, binding suite preference, policy intent, and</w:t>
      </w:r>
      <w:r>
        <w:t xml:space="preserve"> </w:t>
      </w:r>
      <w:r>
        <w:t xml:space="preserve">identity context before any responder data is received:</w:t>
      </w:r>
    </w:p>
    <w:p>
      <w:pPr>
        <w:pStyle w:val="BodyText"/>
      </w:pPr>
      <w:r>
        <w:t xml:space="preserve">Signature A preimage includes the domain separator</w:t>
      </w:r>
      <w:r>
        <w:t xml:space="preserve"> </w:t>
      </w:r>
      <w:r>
        <w:rPr>
          <w:rStyle w:val="VerbatimChar"/>
        </w:rPr>
        <w:t xml:space="preserve">SkyBridge-A</w:t>
      </w:r>
      <w:r>
        <w:t xml:space="preserve">,</w:t>
      </w:r>
      <w:r>
        <w:t xml:space="preserve"> </w:t>
      </w:r>
      <w:r>
        <w:t xml:space="preserve">the version, canonical supported suites and key shares, the client nonce,</w:t>
      </w:r>
      <w:r>
        <w:t xml:space="preserve"> </w:t>
      </w:r>
      <w:r>
        <w:t xml:space="preserve">capabilities, policy, and the initiator identity public key; optional</w:t>
      </w:r>
      <w:r>
        <w:t xml:space="preserve"> </w:t>
      </w:r>
      <w:r>
        <w:t xml:space="preserve">Secure Enclave binding uses</w:t>
      </w:r>
      <w:r>
        <w:t xml:space="preserve"> </w:t>
      </w:r>
      <w:r>
        <w:rPr>
          <w:rStyle w:val="VerbatimChar"/>
        </w:rPr>
        <w:t xml:space="preserve">SkyBridge-SE-A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Signature B (MessageB):</w:t>
      </w:r>
      <w:r>
        <w:t xml:space="preserve"> </w:t>
      </w:r>
      <w:r>
        <w:t xml:space="preserve">The Responder signs a transcript that</w:t>
      </w:r>
      <w:r>
        <w:t xml:space="preserve"> </w:t>
      </w:r>
      <w:r>
        <w:t xml:space="preserve">commits to MessageA:</w:t>
      </w:r>
    </w:p>
    <w:p>
      <w:pPr>
        <w:pStyle w:val="BodyText"/>
      </w:pPr>
      <w:r>
        <w:t xml:space="preserve">Signature B preimage includes the domain separator</w:t>
      </w:r>
      <w:r>
        <w:t xml:space="preserve"> </w:t>
      </w:r>
      <w:r>
        <w:rPr>
          <w:rStyle w:val="VerbatimChar"/>
        </w:rPr>
        <w:t xml:space="preserve">SkyBridge-B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transcriptA</w:t>
      </w:r>
      <w:r>
        <w:t xml:space="preserve">, selected suite wire ID, responder key share,</w:t>
      </w:r>
      <w:r>
        <w:t xml:space="preserve"> </w:t>
      </w:r>
      <w:r>
        <w:t xml:space="preserve">server nonce, payload hash, and the responder identity public key;</w:t>
      </w:r>
      <w:r>
        <w:t xml:space="preserve"> </w:t>
      </w:r>
      <w:r>
        <w:t xml:space="preserve">optional Secure Enclave binding uses</w:t>
      </w:r>
      <w:r>
        <w:t xml:space="preserve"> </w:t>
      </w:r>
      <w:r>
        <w:rPr>
          <w:rStyle w:val="VerbatimChar"/>
        </w:rPr>
        <w:t xml:space="preserve">SkyBridge-SE-B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Derivation:</w:t>
      </w:r>
      <w:r>
        <w:t xml:space="preserve"> </w:t>
      </w:r>
      <w:r>
        <w:t xml:space="preserve">Nonces, transcripts, suite binding, and</w:t>
      </w:r>
      <w:r>
        <w:t xml:space="preserve"> </w:t>
      </w:r>
      <w:r>
        <w:rPr>
          <w:i/>
          <w:iCs/>
        </w:rPr>
        <w:t xml:space="preserve">directional separation</w:t>
      </w:r>
      <w:r>
        <w:t xml:space="preserve"> </w:t>
      </w:r>
      <w:r>
        <w:t xml:space="preserve">are included in the KDF, and the salt is</w:t>
      </w:r>
      <w:r>
        <w:t xml:space="preserve"> </w:t>
      </w:r>
      <w:r>
        <w:t xml:space="preserve">transcript-bound (non-empty):</w:t>
      </w:r>
    </w:p>
    <w:p>
      <w:pPr>
        <w:pStyle w:val="BodyText"/>
      </w:pPr>
      <w:r>
        <w:t xml:space="preserve">KDF input concatenates the</w:t>
      </w:r>
      <w:r>
        <w:t xml:space="preserve"> </w:t>
      </w:r>
      <w:r>
        <w:rPr>
          <w:rStyle w:val="VerbatimChar"/>
        </w:rPr>
        <w:t xml:space="preserve">SkyBridge-KDF</w:t>
      </w:r>
      <w:r>
        <w:t xml:space="preserve"> </w:t>
      </w:r>
      <w:r>
        <w:t xml:space="preserve">label, suite wire ID,</w:t>
      </w:r>
      <w:r>
        <w:t xml:space="preserve"> </w:t>
      </w:r>
      <w:r>
        <w:t xml:space="preserve">transcript hashes, and nonces. The salt uses the domain string</w:t>
      </w:r>
      <w:r>
        <w:t xml:space="preserve"> </w:t>
      </w:r>
      <w:r>
        <w:rPr>
          <w:rStyle w:val="VerbatimChar"/>
        </w:rPr>
        <w:t xml:space="preserve">SkyBridge-KDF-Salt-v1|</w:t>
      </w:r>
      <w:r>
        <w:t xml:space="preserve">. Direction labels separate traffic</w:t>
      </w:r>
      <w:r>
        <w:t xml:space="preserve"> </w:t>
      </w:r>
      <w:r>
        <w:t xml:space="preserve">classes: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initiator_to_responder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responder_to_initiator</w:t>
      </w:r>
    </w:p>
    <w:p>
      <w:pPr>
        <w:pStyle w:val="FirstParagraph"/>
      </w:pPr>
      <w:r>
        <w:t xml:space="preserve">This structure is designed to ensure: (1)</w:t>
      </w:r>
      <w:r>
        <w:t xml:space="preserve"> </w:t>
      </w:r>
      <w:r>
        <w:rPr>
          <w:rStyle w:val="VerbatimChar"/>
        </w:rPr>
        <w:t xml:space="preserve">sigB</w:t>
      </w:r>
      <w:r>
        <w:t xml:space="preserve"> </w:t>
      </w:r>
      <w:r>
        <w:t xml:space="preserve">commits to</w:t>
      </w:r>
      <w:r>
        <w:t xml:space="preserve"> </w:t>
      </w:r>
      <w:r>
        <w:rPr>
          <w:rStyle w:val="VerbatimChar"/>
        </w:rPr>
        <w:t xml:space="preserve">MessageA</w:t>
      </w:r>
      <w:r>
        <w:t xml:space="preserve">,</w:t>
      </w:r>
      <w:r>
        <w:t xml:space="preserve"> </w:t>
      </w:r>
      <w:r>
        <w:t xml:space="preserve">so any tampering breaks verification; (2) domain separators prevent</w:t>
      </w:r>
      <w:r>
        <w:t xml:space="preserve"> </w:t>
      </w:r>
      <w:r>
        <w:t xml:space="preserve">cross-protocol attacks; (3) SE signatures are session-bound and</w:t>
      </w:r>
      <w:r>
        <w:t xml:space="preserve"> </w:t>
      </w:r>
      <w:r>
        <w:t xml:space="preserve">non-replayable.</w:t>
      </w:r>
    </w:p>
    <w:bookmarkEnd w:id="37"/>
    <w:bookmarkEnd w:id="38"/>
    <w:bookmarkStart w:id="41" w:name="sec:security-model"/>
    <w:p>
      <w:pPr>
        <w:pStyle w:val="Heading1"/>
      </w:pPr>
      <w:r>
        <w:t xml:space="preserve">SECURITY MODEL AND</w:t>
      </w:r>
      <w:r>
        <w:t xml:space="preserve"> </w:t>
      </w:r>
      <w:r>
        <w:t xml:space="preserve">GUARANTEES</w:t>
      </w:r>
    </w:p>
    <w:bookmarkStart w:id="39" w:name="a.-security-model"/>
    <w:p>
      <w:pPr>
        <w:pStyle w:val="Heading2"/>
      </w:pPr>
      <w:r>
        <w:t xml:space="preserve">Security Model</w:t>
      </w:r>
    </w:p>
    <w:p>
      <w:pPr>
        <w:pStyle w:val="FirstParagraph"/>
      </w:pPr>
      <w:r>
        <w:t xml:space="preserve">We assume an active network adversary with full control of the discovery</w:t>
      </w:r>
      <w:r>
        <w:t xml:space="preserve"> </w:t>
      </w:r>
      <w:r>
        <w:t xml:space="preserve">channel (drop, delay, reorder, duplicate, modify, and inject messages)</w:t>
      </w:r>
      <w:r>
        <w:t xml:space="preserve"> </w:t>
      </w:r>
      <w:r>
        <w:t xml:space="preserve">but without breaking standard cryptographic assumptions. The attacker</w:t>
      </w:r>
      <w:r>
        <w:t xml:space="preserve"> </w:t>
      </w:r>
      <w:r>
        <w:t xml:space="preserve">can replay prior handshakes and attempt downgrade by suppressing</w:t>
      </w:r>
      <w:r>
        <w:t xml:space="preserve"> </w:t>
      </w:r>
      <w:r>
        <w:t xml:space="preserve">PQC-related fields. We assume the out-of-band pairing ceremony is</w:t>
      </w:r>
      <w:r>
        <w:t xml:space="preserve"> </w:t>
      </w:r>
      <w:r>
        <w:t xml:space="preserve">trusted and that device key storage (Keychain/Secure Enclave) preserves</w:t>
      </w:r>
      <w:r>
        <w:t xml:space="preserve"> </w:t>
      </w:r>
      <w:r>
        <w:t xml:space="preserve">key integrity. The attacker may compromise a peer after pairing and</w:t>
      </w:r>
      <w:r>
        <w:t xml:space="preserve"> </w:t>
      </w:r>
      <w:r>
        <w:t xml:space="preserve">learn long-term signing key material, but cannot retroactively forge</w:t>
      </w:r>
      <w:r>
        <w:t xml:space="preserve"> </w:t>
      </w:r>
      <w:r>
        <w:t xml:space="preserve">signatures for past sessions. We do not claim forward secrecy for</w:t>
      </w:r>
      <w:r>
        <w:t xml:space="preserve"> </w:t>
      </w:r>
      <w:r>
        <w:t xml:space="preserve">KEM-based suites in v1: ML-KEM encapsulation targets a peer’s long-term</w:t>
      </w:r>
      <w:r>
        <w:t xml:space="preserve"> </w:t>
      </w:r>
      <w:r>
        <w:t xml:space="preserve">KEM public key obtained during pairing. Accordingly, post-quantum</w:t>
      </w:r>
      <w:r>
        <w:t xml:space="preserve"> </w:t>
      </w:r>
      <w:r>
        <w:t xml:space="preserve">confidentiality against store-now-decrypt-later adversaries holds only</w:t>
      </w:r>
      <w:r>
        <w:t xml:space="preserve"> </w:t>
      </w:r>
      <w:r>
        <w:t xml:space="preserve">while long-term KEM private keys remain uncompromised; later compromise</w:t>
      </w:r>
      <w:r>
        <w:t xml:space="preserve"> </w:t>
      </w:r>
      <w:r>
        <w:t xml:space="preserve">of the corresponding KEM private key can enable decryption of recorded</w:t>
      </w:r>
      <w:r>
        <w:t xml:space="preserve"> </w:t>
      </w:r>
      <w:r>
        <w:t xml:space="preserve">sessions.</w:t>
      </w:r>
    </w:p>
    <w:p>
      <w:pPr>
        <w:pStyle w:val="BodyText"/>
      </w:pPr>
      <w:r>
        <w:rPr>
          <w:b/>
          <w:bCs/>
        </w:rPr>
        <w:t xml:space="preserve">Assumptions:</w:t>
      </w:r>
    </w:p>
    <w:p>
      <w:pPr>
        <w:numPr>
          <w:ilvl w:val="0"/>
          <w:numId w:val="1011"/>
        </w:numPr>
      </w:pPr>
      <w:r>
        <w:t xml:space="preserve">The pairing ceremony delivers the correct peer identity key (PIN or</w:t>
      </w:r>
      <w:r>
        <w:t xml:space="preserve"> </w:t>
      </w:r>
      <w:r>
        <w:t xml:space="preserve">visual verification is not bypassed).</w:t>
      </w:r>
    </w:p>
    <w:p>
      <w:pPr>
        <w:numPr>
          <w:ilvl w:val="0"/>
          <w:numId w:val="1011"/>
        </w:numPr>
      </w:pPr>
      <w:r>
        <w:t xml:space="preserve">Pinned identity keys stored in Keychain/Secure Enclave retain integrity</w:t>
      </w:r>
      <w:r>
        <w:t xml:space="preserve"> </w:t>
      </w:r>
      <w:r>
        <w:t xml:space="preserve">across normal device operation.</w:t>
      </w:r>
    </w:p>
    <w:p>
      <w:pPr>
        <w:numPr>
          <w:ilvl w:val="0"/>
          <w:numId w:val="1011"/>
        </w:numPr>
      </w:pPr>
      <w:r>
        <w:t xml:space="preserve">Devices remain uncompromised (no root or malware control) during</w:t>
      </w:r>
      <w:r>
        <w:t xml:space="preserve"> </w:t>
      </w:r>
      <w:r>
        <w:t xml:space="preserve">handshake execution.</w:t>
      </w:r>
    </w:p>
    <w:p>
      <w:pPr>
        <w:pStyle w:val="FirstParagraph"/>
      </w:pPr>
      <w:r>
        <w:rPr>
          <w:b/>
          <w:bCs/>
        </w:rPr>
        <w:t xml:space="preserve">If assumptions fail:</w:t>
      </w:r>
    </w:p>
    <w:p>
      <w:pPr>
        <w:numPr>
          <w:ilvl w:val="0"/>
          <w:numId w:val="1012"/>
        </w:numPr>
      </w:pPr>
      <w:r>
        <w:t xml:space="preserve">If pairing is subverted and the pinned identity key is replaced,</w:t>
      </w:r>
      <w:r>
        <w:t xml:space="preserve"> </w:t>
      </w:r>
      <w:r>
        <w:t xml:space="preserve">peer authentication is no longer meaningful; the system must require</w:t>
      </w:r>
      <w:r>
        <w:t xml:space="preserve"> </w:t>
      </w:r>
      <w:r>
        <w:t xml:space="preserve">re-pairing and treat the session as untrusted.</w:t>
      </w:r>
    </w:p>
    <w:p>
      <w:pPr>
        <w:numPr>
          <w:ilvl w:val="0"/>
          <w:numId w:val="1012"/>
        </w:numPr>
      </w:pPr>
      <w:r>
        <w:t xml:space="preserve">If device integrity is lost, confidentiality and key secrecy cannot be</w:t>
      </w:r>
      <w:r>
        <w:t xml:space="preserve"> </w:t>
      </w:r>
      <w:r>
        <w:t xml:space="preserve">guaranteed; the system should abort and emit high-severity events such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identity</w:t>
      </w:r>
      <w:r>
        <w:rPr>
          <w:rStyle w:val="VerbatimChar"/>
        </w:rPr>
        <w:t xml:space="preserve">Mismatch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handshake</w:t>
      </w:r>
      <w:r>
        <w:rPr>
          <w:rStyle w:val="VerbatimChar"/>
        </w:rPr>
        <w:t xml:space="preserve">Failed</w:t>
      </w:r>
      <w:r>
        <w:t xml:space="preserve">.</w:t>
      </w:r>
    </w:p>
    <w:bookmarkEnd w:id="39"/>
    <w:bookmarkStart w:id="40" w:name="b.-security-goals-and-proof-sketches"/>
    <w:p>
      <w:pPr>
        <w:pStyle w:val="Heading2"/>
      </w:pPr>
      <w:r>
        <w:t xml:space="preserve">Security Goals and Proof</w:t>
      </w:r>
      <w:r>
        <w:t xml:space="preserve"> </w:t>
      </w:r>
      <w:r>
        <w:t xml:space="preserve">Sketches</w:t>
      </w:r>
    </w:p>
    <w:p>
      <w:pPr>
        <w:pStyle w:val="FirstParagraph"/>
      </w:pPr>
      <w:r>
        <w:rPr>
          <w:b/>
          <w:bCs/>
        </w:rPr>
        <w:t xml:space="preserve">Definitions.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D1 (Forced downgrade / forced fallback).</w:t>
      </w:r>
      <w:r>
        <w:t xml:space="preserve"> </w:t>
      </w:r>
      <w:r>
        <w:t xml:space="preserve">A downgrade occurs if a session is established with a classic suite when policy requires PQC (</w:t>
      </w:r>
      <w:r>
        <w:rPr>
          <w:rStyle w:val="VerbatimChar"/>
        </w:rPr>
        <w:t xml:space="preserve">strictPQC</w:t>
      </w:r>
      <w:r>
        <w:t xml:space="preserve">), or if classic fallback is accepted under the default policy without satisfying the local-only fallback gate (Definition D2) and without emitting the corresponding audit event (Property G8).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D2 (Local-only fallback gate).</w:t>
      </w:r>
      <w:r>
        <w:t xml:space="preserve"> </w:t>
      </w:r>
      <w:r>
        <w:t xml:space="preserve">Fallback is permitted only after (i) the peer identity is verified against the pinned key (paired peers) and (ii) the triggering failure is locally generated capability/instantiation unavailability (whitelist), excluding timeout and any unauthenticated network-derived failure.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D3 (Audit evidence).</w:t>
      </w:r>
      <w:r>
        <w:t xml:space="preserve"> </w:t>
      </w:r>
      <w:r>
        <w:t xml:space="preserve">The minimal sufficient evidence set is the tuple {event type, timestamp, deviceId, suiteId, failure reason code, policy mode, fallback flag, cooldown remaining} (Property G8).</w:t>
      </w:r>
    </w:p>
    <w:p>
      <w:pPr>
        <w:pStyle w:val="FirstParagraph"/>
      </w:pPr>
      <w:r>
        <w:t xml:space="preserve">We state the core properties as invariants and provide non-formal proof</w:t>
      </w:r>
      <w:r>
        <w:t xml:space="preserve"> </w:t>
      </w:r>
      <w:r>
        <w:t xml:space="preserve">sketches tied to protocol mechanics. Formal verification using model checking or symbolic analysis</w:t>
      </w:r>
      <w:r>
        <w:t xml:space="preserve"> </w:t>
      </w:r>
      <w:r>
        <w:t xml:space="preserve"> </w:t>
      </w:r>
      <w:r>
        <w:t xml:space="preserve">is planned for future work:</w:t>
      </w:r>
    </w:p>
    <w:p>
      <w:pPr>
        <w:pStyle w:val="BodyText"/>
      </w:pPr>
      <w:r>
        <w:rPr>
          <w:b/>
          <w:bCs/>
        </w:rPr>
        <w:t xml:space="preserve">Property G1 (Negotiation Integrity):</w:t>
      </w:r>
      <w:r>
        <w:t xml:space="preserve"> </w:t>
      </w:r>
      <w:r>
        <w:t xml:space="preserve">The selected suite must be</w:t>
      </w:r>
      <w:r>
        <w:t xml:space="preserve"> </w:t>
      </w:r>
      <w:r>
        <w:t xml:space="preserve">among the Initiator’s offered suites and have a corresponding key</w:t>
      </w:r>
      <w:r>
        <w:t xml:space="preserve"> </w:t>
      </w:r>
      <w:r>
        <w:t xml:space="preserve">share.</w:t>
      </w:r>
      <w:r>
        <w:br/>
      </w:r>
      <w:r>
        <w:rPr>
          <w:i/>
          <w:iCs/>
        </w:rPr>
        <w:t xml:space="preserve">Proof sketch: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MessageB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selectedSuite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sigB</w:t>
      </w:r>
      <w:r>
        <w:t xml:space="preserve"> </w:t>
      </w:r>
      <w:r>
        <w:t xml:space="preserve">covers</w:t>
      </w:r>
      <w:r>
        <w:t xml:space="preserve"> </w:t>
      </w:r>
      <w:r>
        <w:rPr>
          <w:rStyle w:val="VerbatimChar"/>
        </w:rPr>
        <w:t xml:space="preserve">MessageA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Any modification to the offered suite list or key-share list breaks</w:t>
      </w:r>
      <w:r>
        <w:t xml:space="preserve"> </w:t>
      </w:r>
      <w:r>
        <w:rPr>
          <w:rStyle w:val="VerbatimChar"/>
        </w:rPr>
        <w:t xml:space="preserve">sigB</w:t>
      </w:r>
      <w:r>
        <w:t xml:space="preserve"> </w:t>
      </w:r>
      <w:r>
        <w:t xml:space="preserve">verification.</w:t>
      </w:r>
    </w:p>
    <w:p>
      <w:pPr>
        <w:numPr>
          <w:ilvl w:val="0"/>
          <w:numId w:val="1014"/>
        </w:numPr>
      </w:pPr>
      <w:r>
        <w:t xml:space="preserve">The Responder validates</w:t>
      </w:r>
      <w:r>
        <w:t xml:space="preserve"> </w:t>
      </w:r>
      <w:r>
        <w:rPr>
          <w:rStyle w:val="VerbatimChar"/>
        </w:rPr>
        <w:t xml:space="preserve">selectedSuite</w:t>
      </w:r>
      <w:r>
        <w:t xml:space="preserve"> </w:t>
      </w:r>
      <w:r>
        <w:t xml:space="preserve">against the offered</w:t>
      </w:r>
      <w:r>
        <w:t xml:space="preserve"> </w:t>
      </w:r>
      <w:r>
        <w:t xml:space="preserve">suites and checks that a matching key share is present.</w:t>
      </w:r>
    </w:p>
    <w:p>
      <w:pPr>
        <w:pStyle w:val="FirstParagraph"/>
      </w:pPr>
      <w:r>
        <w:rPr>
          <w:b/>
          <w:bCs/>
        </w:rPr>
        <w:t xml:space="preserve">Property G2 (Mutual Authentication for Paired Peers):</w:t>
      </w:r>
      <w:r>
        <w:t xml:space="preserve"> </w:t>
      </w:r>
      <w:r>
        <w:t xml:space="preserve">For</w:t>
      </w:r>
      <w:r>
        <w:t xml:space="preserve"> </w:t>
      </w:r>
      <w:r>
        <w:t xml:space="preserve">previously paired devices, the peer identity is authenticated and bound</w:t>
      </w:r>
      <w:r>
        <w:t xml:space="preserve"> </w:t>
      </w:r>
      <w:r>
        <w:t xml:space="preserve">to the handshake transcript.</w:t>
      </w:r>
      <w:r>
        <w:br/>
      </w:r>
      <w:r>
        <w:rPr>
          <w:i/>
          <w:iCs/>
        </w:rPr>
        <w:t xml:space="preserve">Proof sketch: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identityPubKey</w:t>
      </w:r>
      <w:r>
        <w:t xml:space="preserve"> </w:t>
      </w:r>
      <w:r>
        <w:t xml:space="preserve">is pinned during OOB pairing.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MessageA</w:t>
      </w:r>
      <w:r>
        <w:t xml:space="preserve">/</w:t>
      </w:r>
      <w:r>
        <w:rPr>
          <w:rStyle w:val="VerbatimChar"/>
        </w:rPr>
        <w:t xml:space="preserve">MessageB</w:t>
      </w:r>
      <w:r>
        <w:t xml:space="preserve"> </w:t>
      </w:r>
      <w:r>
        <w:t xml:space="preserve">signatures over transcript data</w:t>
      </w:r>
      <w:r>
        <w:t xml:space="preserve"> </w:t>
      </w:r>
      <w:r>
        <w:t xml:space="preserve">must verify under the pinned key; otherwise</w:t>
      </w:r>
      <w:r>
        <w:t xml:space="preserve"> </w:t>
      </w:r>
      <w:r>
        <w:rPr>
          <w:rStyle w:val="VerbatimChar"/>
        </w:rPr>
        <w:t xml:space="preserve">identityMismatch</w:t>
      </w:r>
      <w:r>
        <w:t xml:space="preserve"> </w:t>
      </w:r>
      <w:r>
        <w:t xml:space="preserve">aborts the handshake.</w:t>
      </w:r>
    </w:p>
    <w:p>
      <w:pPr>
        <w:pStyle w:val="FirstParagraph"/>
      </w:pPr>
      <w:r>
        <w:rPr>
          <w:b/>
          <w:bCs/>
        </w:rPr>
        <w:t xml:space="preserve">Property G3 (Session Key Secrecy):</w:t>
      </w:r>
      <w:r>
        <w:t xml:space="preserve"> </w:t>
      </w:r>
      <w:r>
        <w:t xml:space="preserve">The derived session keys</w:t>
      </w:r>
      <w:r>
        <w:t xml:space="preserve"> </w:t>
      </w:r>
      <w:r>
        <w:t xml:space="preserve">remain secret under standard KEM/DH and signature security</w:t>
      </w:r>
      <w:r>
        <w:t xml:space="preserve"> </w:t>
      </w:r>
      <w:r>
        <w:t xml:space="preserve">assumptions.</w:t>
      </w:r>
      <w:r>
        <w:br/>
      </w:r>
      <w:r>
        <w:rPr>
          <w:i/>
          <w:iCs/>
        </w:rPr>
        <w:t xml:space="preserve">Proof sketch:</w:t>
      </w:r>
    </w:p>
    <w:p>
      <w:pPr>
        <w:numPr>
          <w:ilvl w:val="0"/>
          <w:numId w:val="1016"/>
        </w:numPr>
      </w:pPr>
      <w:r>
        <w:t xml:space="preserve">The shared secret is derived from KEM decapsulation or DH, and keys</w:t>
      </w:r>
      <w:r>
        <w:t xml:space="preserve"> </w:t>
      </w:r>
      <w:r>
        <w:t xml:space="preserve">are extracted via HKDF with transcript-bound salt.</w:t>
      </w:r>
    </w:p>
    <w:p>
      <w:pPr>
        <w:numPr>
          <w:ilvl w:val="0"/>
          <w:numId w:val="1016"/>
        </w:numPr>
      </w:pPr>
      <w:r>
        <w:t xml:space="preserve">An attacker without the private key material cannot compute the shared</w:t>
      </w:r>
      <w:r>
        <w:t xml:space="preserve"> </w:t>
      </w:r>
      <w:r>
        <w:t xml:space="preserve">secret or derive session keys.</w:t>
      </w:r>
    </w:p>
    <w:p>
      <w:pPr>
        <w:pStyle w:val="FirstParagraph"/>
      </w:pPr>
      <w:r>
        <w:rPr>
          <w:b/>
          <w:bCs/>
        </w:rPr>
        <w:t xml:space="preserve">Property G4 (Replay Resistance):</w:t>
      </w:r>
      <w:r>
        <w:t xml:space="preserve"> </w:t>
      </w:r>
      <w:r>
        <w:t xml:space="preserve">Replayed handshakes do not</w:t>
      </w:r>
      <w:r>
        <w:t xml:space="preserve"> </w:t>
      </w:r>
      <w:r>
        <w:t xml:space="preserve">establish a session.</w:t>
      </w:r>
      <w:r>
        <w:br/>
      </w:r>
      <w:r>
        <w:rPr>
          <w:i/>
          <w:iCs/>
        </w:rPr>
        <w:t xml:space="preserve">Proof sketch:</w:t>
      </w:r>
      <w:r>
        <w:t xml:space="preserve"> </w:t>
      </w:r>
      <w:r>
        <w:rPr>
          <w:rStyle w:val="VerbatimChar"/>
        </w:rPr>
        <w:t xml:space="preserve">handshakeId</w:t>
      </w:r>
      <w:r>
        <w:t xml:space="preserve"> </w:t>
      </w:r>
      <w:r>
        <w:t xml:space="preserve">derives from fresh nonces and</w:t>
      </w:r>
      <w:r>
        <w:t xml:space="preserve"> </w:t>
      </w:r>
      <w:r>
        <w:t xml:space="preserve">suite identifiers; replay detection caches recent IDs and rejects</w:t>
      </w:r>
      <w:r>
        <w:t xml:space="preserve"> </w:t>
      </w:r>
      <w:r>
        <w:t xml:space="preserve">duplicates within the window.</w:t>
      </w:r>
    </w:p>
    <w:p>
      <w:pPr>
        <w:pStyle w:val="BodyText"/>
      </w:pPr>
      <w:r>
        <w:rPr>
          <w:b/>
          <w:bCs/>
        </w:rPr>
        <w:t xml:space="preserve">Property G5 (Downgrade Resistance under strictPQC):</w:t>
      </w:r>
      <w:r>
        <w:t xml:space="preserve"> </w:t>
      </w:r>
      <w:r>
        <w:t xml:space="preserve">No fallback</w:t>
      </w:r>
      <w:r>
        <w:t xml:space="preserve"> </w:t>
      </w:r>
      <w:r>
        <w:t xml:space="preserve">to classic is allowed under strict policy.</w:t>
      </w:r>
      <w:r>
        <w:br/>
      </w:r>
      <w:r>
        <w:rPr>
          <w:i/>
          <w:iCs/>
        </w:rPr>
        <w:t xml:space="preserve">Proof sketch:</w:t>
      </w:r>
      <w:r>
        <w:t xml:space="preserve"> </w:t>
      </w:r>
      <w:r>
        <w:rPr>
          <w:rStyle w:val="VerbatimChar"/>
        </w:rPr>
        <w:t xml:space="preserve">TwoAttemptHandshakeManager</w:t>
      </w:r>
      <w:r>
        <w:t xml:space="preserve"> </w:t>
      </w:r>
      <w:r>
        <w:t xml:space="preserve">enforces a</w:t>
      </w:r>
      <w:r>
        <w:t xml:space="preserve"> </w:t>
      </w:r>
      <w:r>
        <w:t xml:space="preserve">policy gate before any fallback attempt; strictPQC forbids all fallback</w:t>
      </w:r>
      <w:r>
        <w:t xml:space="preserve"> </w:t>
      </w:r>
      <w:r>
        <w:t xml:space="preserve">edges regardless of error type. This is validated by policy downgrade</w:t>
      </w:r>
      <w:r>
        <w:t xml:space="preserve"> </w:t>
      </w:r>
      <w:r>
        <w:t xml:space="preserve">benchmarks (Fig. </w:t>
      </w:r>
      <w:hyperlink w:anchor="fig:policy-downgrade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Property G6 (Safe Fallback under default policy):</w:t>
      </w:r>
      <w:r>
        <w:t xml:space="preserve"> </w:t>
      </w:r>
      <w:r>
        <w:t xml:space="preserve">Fallback can</w:t>
      </w:r>
      <w:r>
        <w:t xml:space="preserve"> </w:t>
      </w:r>
      <w:r>
        <w:t xml:space="preserve">only occur after peer identity is verified under the pinned key and only</w:t>
      </w:r>
      <w:r>
        <w:t xml:space="preserve"> </w:t>
      </w:r>
      <w:r>
        <w:t xml:space="preserve">for a whitelisted set of locally generated capability errors; timeout</w:t>
      </w:r>
      <w:r>
        <w:t xml:space="preserve"> </w:t>
      </w:r>
      <w:r>
        <w:t xml:space="preserve">and network-derived failures never trigger fallback.</w:t>
      </w:r>
      <w:r>
        <w:br/>
      </w:r>
      <w:r>
        <w:rPr>
          <w:i/>
          <w:iCs/>
        </w:rPr>
        <w:t xml:space="preserve">Proof sketch:</w:t>
      </w:r>
      <w:r>
        <w:t xml:space="preserve"> </w:t>
      </w:r>
      <w:r>
        <w:t xml:space="preserve">Fallback is gated after identity verification; the</w:t>
      </w:r>
      <w:r>
        <w:t xml:space="preserve"> </w:t>
      </w:r>
      <w:r>
        <w:t xml:space="preserve">whitelist is evaluated on locally generated capability/instantiation</w:t>
      </w:r>
      <w:r>
        <w:t xml:space="preserve"> </w:t>
      </w:r>
      <w:r>
        <w:t xml:space="preserve">errors rather than unauthenticated network input.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is</w:t>
      </w:r>
      <w:r>
        <w:t xml:space="preserve"> </w:t>
      </w:r>
      <w:r>
        <w:t xml:space="preserve">explicitly blocked and per-peer cooldown limits repeated downgrades.</w:t>
      </w:r>
      <w:r>
        <w:t xml:space="preserve"> </w:t>
      </w:r>
      <w:r>
        <w:rPr>
          <w:i/>
          <w:iCs/>
        </w:rPr>
        <w:t xml:space="preserve">Proposition (No forced fallback by packet loss):</w:t>
      </w:r>
      <w:r>
        <w:t xml:space="preserve"> </w:t>
      </w:r>
      <w:r>
        <w:t xml:space="preserve">Under the attacker model in Section </w:t>
      </w:r>
      <w:hyperlink w:anchor="sec:security-model">
        <w:r>
          <w:rPr>
            <w:rStyle w:val="Hyperlink"/>
          </w:rPr>
          <w:t xml:space="preserve">4</w:t>
        </w:r>
      </w:hyperlink>
      <w:r>
        <w:t xml:space="preserve">, an active network attacker who can drop/delay/reorder messages cannot induce a successful classic session by causing timeouts, because timeout-triggered fallback is disallowed and the default-policy fallback gate (Definition D2) requires locally generated unavailability after identity verification.</w:t>
      </w:r>
    </w:p>
    <w:p>
      <w:pPr>
        <w:pStyle w:val="BodyText"/>
      </w:pPr>
      <w:r>
        <w:rPr>
          <w:b/>
          <w:bCs/>
        </w:rPr>
        <w:t xml:space="preserve">Property G7 (Legacy Acceptance Preconditions):</w:t>
      </w:r>
      <w:r>
        <w:t xml:space="preserve"> </w:t>
      </w:r>
      <w:r>
        <w:t xml:space="preserve">Legacy P-256</w:t>
      </w:r>
      <w:r>
        <w:t xml:space="preserve"> </w:t>
      </w:r>
      <w:r>
        <w:t xml:space="preserve">signatures are accepted only under authenticated pairing or an existing</w:t>
      </w:r>
      <w:r>
        <w:t xml:space="preserve"> </w:t>
      </w:r>
      <w:r>
        <w:t xml:space="preserve">trust record.</w:t>
      </w:r>
      <w:r>
        <w:br/>
      </w:r>
      <w:r>
        <w:rPr>
          <w:i/>
          <w:iCs/>
        </w:rPr>
        <w:t xml:space="preserve">Proof sketch:</w:t>
      </w:r>
      <w:r>
        <w:t xml:space="preserve"> </w:t>
      </w:r>
      <w:r>
        <w:t xml:space="preserve">Legacy acceptance is gated by</w:t>
      </w:r>
      <w:r>
        <w:t xml:space="preserve"> </w:t>
      </w:r>
      <w:r>
        <w:rPr>
          <w:rStyle w:val="VerbatimChar"/>
        </w:rPr>
        <w:t xml:space="preserve">LegacyTrustPrecondition</w:t>
      </w:r>
      <w:r>
        <w:t xml:space="preserve">; pure network stranger connections fail.</w:t>
      </w:r>
      <w:r>
        <w:t xml:space="preserve"> </w:t>
      </w:r>
      <w:r>
        <w:t xml:space="preserve">This is validated by the precondition test matrix (Table </w:t>
      </w:r>
      <w:hyperlink w:anchor="tab:legacy-fallback-preconditions">
        <w:r>
          <w:rPr>
            <w:rStyle w:val="Hyperlink"/>
          </w:rPr>
          <w:t xml:space="preserve">[tab:legacy-fallback-preconditions]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Property G8 (Auditability):</w:t>
      </w:r>
      <w:r>
        <w:t xml:space="preserve"> </w:t>
      </w:r>
      <w:r>
        <w:t xml:space="preserve">Cryptographic downgrades and</w:t>
      </w:r>
      <w:r>
        <w:t xml:space="preserve"> </w:t>
      </w:r>
      <w:r>
        <w:t xml:space="preserve">exceptional states are observable via a minimal sufficient information set.</w:t>
      </w:r>
      <w:r>
        <w:br/>
      </w:r>
      <w:r>
        <w:rPr>
          <w:i/>
          <w:iCs/>
        </w:rPr>
        <w:t xml:space="preserve">Proof sketch:</w:t>
      </w:r>
      <w:r>
        <w:t xml:space="preserve"> </w:t>
      </w:r>
      <w:r>
        <w:t xml:space="preserve">The handshake emits</w:t>
      </w:r>
      <w:r>
        <w:t xml:space="preserve"> </w:t>
      </w:r>
      <w:r>
        <w:rPr>
          <w:rStyle w:val="VerbatimChar"/>
        </w:rPr>
        <w:t xml:space="preserve">cryptoDowngrade</w:t>
      </w:r>
      <w:r>
        <w:t xml:space="preserve"> </w:t>
      </w:r>
      <w:r>
        <w:t xml:space="preserve">events with reason,</w:t>
      </w:r>
      <w:r>
        <w:t xml:space="preserve"> </w:t>
      </w:r>
      <w:r>
        <w:t xml:space="preserve">deviceId, and cooldown context, enabling post-hoc verification of policy</w:t>
      </w:r>
      <w:r>
        <w:t xml:space="preserve"> </w:t>
      </w:r>
      <w:r>
        <w:t xml:space="preserve">adherence.</w:t>
      </w:r>
    </w:p>
    <w:p>
      <w:pPr>
        <w:pStyle w:val="BodyText"/>
      </w:pPr>
      <w:r>
        <w:rPr>
          <w:i/>
          <w:iCs/>
        </w:rPr>
        <w:t xml:space="preserve">Audit field requirements: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MUST log</w:t>
      </w:r>
      <w:r>
        <w:t xml:space="preserve"> </w:t>
      </w:r>
      <w:r>
        <w:t xml:space="preserve">(minimal sufficient set): event type, timestamp, deviceId, suiteId, failure reason code, policy mode, fallback triggered (bool), cooldown remaining.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MUST NOT log</w:t>
      </w:r>
      <w:r>
        <w:t xml:space="preserve"> </w:t>
      </w:r>
      <w:r>
        <w:t xml:space="preserve">(privacy preservation): session keys, nonces, raw signatures, message payloads, user identifiers beyond deviceId.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Tamper-evidence:</w:t>
      </w:r>
      <w:r>
        <w:t xml:space="preserve"> </w:t>
      </w:r>
      <w:r>
        <w:t xml:space="preserve">Events are emitted synchronously before state transitions complete; the resulting trace is checkable against expected state-machine templates (used in our audit-signal fidelity tests). Log collection relies on OS unified logging (</w:t>
      </w:r>
      <w:r>
        <w:rPr>
          <w:rStyle w:val="VerbatimChar"/>
        </w:rPr>
        <w:t xml:space="preserve">os_log</w:t>
      </w:r>
      <w:r>
        <w:t xml:space="preserve">) for best-effort retention and is not a cryptographic tamper-proof store; privileged adversaries can alter or truncate logs.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Property</w:t>
            </w:r>
          </w:p>
        </w:tc>
        <w:tc>
          <w:tcPr/>
          <w:p>
            <w:pPr>
              <w:jc w:val="left"/>
            </w:pPr>
            <w:r>
              <w:t xml:space="preserve">Enforced at</w:t>
            </w:r>
          </w:p>
        </w:tc>
        <w:tc>
          <w:tcPr/>
          <w:p>
            <w:pPr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Negotiation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Suite/keyshare validation + transcript-bound</w:t>
            </w:r>
            <w:r>
              <w:t xml:space="preserve"> </w:t>
            </w:r>
            <w:r>
              <w:rPr>
                <w:rStyle w:val="VerbatimChar"/>
              </w:rPr>
              <w:t xml:space="preserve">sigB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 </w:t>
            </w:r>
            <w:hyperlink w:anchor="fig:handshake-sequence">
              <w:r>
                <w:rPr>
                  <w:rStyle w:val="Hyperlink"/>
                </w:rPr>
                <w:t xml:space="preserve">1</w:t>
              </w:r>
            </w:hyperlink>
            <w:r>
              <w:t xml:space="preserve">, HandshakeDriverTests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Mutual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pinning + signature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 </w:t>
            </w:r>
            <w:hyperlink w:anchor="tab:failure-mode-robustness">
              <w:r>
                <w:rPr>
                  <w:rStyle w:val="Hyperlink"/>
                </w:rPr>
                <w:t xml:space="preserve">[tab:failure-mode-robustness]</w:t>
              </w:r>
            </w:hyperlink>
            <w:r>
              <w:t xml:space="preserve"> </w:t>
            </w:r>
            <w:r>
              <w:t xml:space="preserve">(wrong signature), Table </w:t>
            </w:r>
            <w:hyperlink w:anchor="tab:legacy-fallback-preconditions">
              <w:r>
                <w:rPr>
                  <w:rStyle w:val="Hyperlink"/>
                </w:rPr>
                <w:t xml:space="preserve">[tab:legacy-fallback-preconditions]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Session key secrecy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KEM/DH + HKDF with transcript-bound salt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1, Supplementary Materials (ML-DSA Key Sizes)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 Replay resistance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handshakeId</w:t>
            </w:r>
            <w:r>
              <w:t xml:space="preserve"> </w:t>
            </w:r>
            <w:r>
              <w:t xml:space="preserve">cache + nonce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Property-Oriented Testing (Section </w:t>
            </w:r>
            <w:hyperlink w:anchor="sec:evaluation">
              <w:r>
                <w:rPr>
                  <w:rStyle w:val="Hyperlink"/>
                </w:rPr>
                <w:t xml:space="preserve">6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 strictPQC no-downgrade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gate in TwoAttemptHandshakeManager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 </w:t>
            </w:r>
            <w:hyperlink w:anchor="fig:policy-downgrade">
              <w:r>
                <w:rPr>
                  <w:rStyle w:val="Hyperlink"/>
                </w:rPr>
                <w:t xml:space="preserve">4</w:t>
              </w:r>
            </w:hyperlink>
            <w:r>
              <w:t xml:space="preserve">, PolicyDowngradeBenchTests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 Default safe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Whitelist/blacklist + local capability gate + 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 </w:t>
            </w:r>
            <w:hyperlink w:anchor="fig:downgrade-matrix">
              <w:r>
                <w:rPr>
                  <w:rStyle w:val="Hyperlink"/>
                </w:rPr>
                <w:t xml:space="preserve">5</w:t>
              </w:r>
            </w:hyperlink>
            <w:r>
              <w:t xml:space="preserve">, Table </w:t>
            </w:r>
            <w:hyperlink w:anchor="tab:failure-mode-robustness">
              <w:r>
                <w:rPr>
                  <w:rStyle w:val="Hyperlink"/>
                </w:rPr>
                <w:t xml:space="preserve">[tab:failure-mode-robustness]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 Legacy acceptance 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LegacyTrustPrecondition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 </w:t>
            </w:r>
            <w:hyperlink w:anchor="tab:legacy-fallback-preconditions">
              <w:r>
                <w:rPr>
                  <w:rStyle w:val="Hyperlink"/>
                </w:rPr>
                <w:t xml:space="preserve">[tab:legacy-fallback-preconditions]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 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event emission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 </w:t>
            </w:r>
            <w:hyperlink w:anchor="fig:failure-histogram">
              <w:r>
                <w:rPr>
                  <w:rStyle w:val="Hyperlink"/>
                </w:rPr>
                <w:t xml:space="preserve">6</w:t>
              </w:r>
            </w:hyperlink>
            <w:r>
              <w:t xml:space="preserve">, Table </w:t>
            </w:r>
            <w:hyperlink w:anchor="tab:audit-signal-fidelity">
              <w:r>
                <w:rPr>
                  <w:rStyle w:val="Hyperlink"/>
                </w:rPr>
                <w:t xml:space="preserve">[tab:audit-signal-fidelity]</w:t>
              </w:r>
            </w:hyperlink>
          </w:p>
        </w:tc>
      </w:tr>
    </w:tbl>
    <w:bookmarkEnd w:id="40"/>
    <w:bookmarkEnd w:id="41"/>
    <w:bookmarkStart w:id="49" w:name="sec:implementation"/>
    <w:p>
      <w:pPr>
        <w:pStyle w:val="Heading1"/>
      </w:pPr>
      <w:r>
        <w:t xml:space="preserve">Implementation</w:t>
      </w:r>
    </w:p>
    <w:p>
      <w:pPr>
        <w:pStyle w:val="FirstParagraph"/>
      </w:pPr>
      <w:r>
        <w:t xml:space="preserve">Implementation references (source files, line numbers) are consolidated in the Supplementary Materials (Artifact Map).</w:t>
      </w:r>
    </w:p>
    <w:bookmarkStart w:id="42" w:name="a.-platform-support-matrix"/>
    <w:p>
      <w:pPr>
        <w:pStyle w:val="Heading2"/>
      </w:pPr>
      <w:r>
        <w:t xml:space="preserve">Platform Support</w:t>
      </w:r>
      <w:r>
        <w:t xml:space="preserve"> </w:t>
      </w:r>
      <w:r>
        <w:t xml:space="preserve">Matrix</w:t>
      </w:r>
    </w:p>
    <w:p>
      <w:pPr>
        <w:pStyle w:val="FirstParagraph"/>
      </w:pPr>
      <w:r>
        <w:t xml:space="preserve">SkyBridge Compass uses a tiered provider model: a native PQC provider</w:t>
      </w:r>
      <w:r>
        <w:t xml:space="preserve"> </w:t>
      </w:r>
      <w:r>
        <w:t xml:space="preserve">when available (e.g., CryptoKit ML-KEM/ML-DSA), a portable liboqs</w:t>
      </w:r>
      <w:r>
        <w:t xml:space="preserve"> </w:t>
      </w:r>
      <w:r>
        <w:t xml:space="preserve">provider, and a classic provider. Provider selection is deterministic</w:t>
      </w:r>
      <w:r>
        <w:t xml:space="preserve"> </w:t>
      </w:r>
      <w:r>
        <w:t xml:space="preserve">and prefers the strongest available tier; Secure Enclave proof-of-</w:t>
      </w:r>
      <w:r>
        <w:t xml:space="preserve"> </w:t>
      </w:r>
      <w:r>
        <w:t xml:space="preserve">possession is optional and orthogonal to the negotiated suite. The full</w:t>
      </w:r>
      <w:r>
        <w:t xml:space="preserve"> </w:t>
      </w:r>
      <w:r>
        <w:t xml:space="preserve">platform support matrix and suite availability are in the Supplementary</w:t>
      </w:r>
      <w:r>
        <w:t xml:space="preserve"> </w:t>
      </w:r>
      <w:r>
        <w:t xml:space="preserve">Materials (Platform Support Matrix).</w:t>
      </w:r>
    </w:p>
    <w:bookmarkEnd w:id="42"/>
    <w:bookmarkStart w:id="43" w:name="b.-apple-pqc-integration"/>
    <w:p>
      <w:pPr>
        <w:pStyle w:val="Heading2"/>
      </w:pPr>
      <w:r>
        <w:t xml:space="preserve">Native PQC Integration</w:t>
      </w:r>
    </w:p>
    <w:p>
      <w:pPr>
        <w:pStyle w:val="FirstParagraph"/>
      </w:pPr>
      <w:r>
        <w:t xml:space="preserve">The native provider wraps CryptoKit ML-KEM/ML-DSA APIs</w:t>
      </w:r>
      <w:r>
        <w:t xml:space="preserve"> </w:t>
      </w:r>
      <w:r>
        <w:t xml:space="preserve"> </w:t>
      </w:r>
      <w:r>
        <w:t xml:space="preserve">when the</w:t>
      </w:r>
      <w:r>
        <w:t xml:space="preserve"> </w:t>
      </w:r>
      <w:r>
        <w:t xml:space="preserve">SDK exposes them, enabling platform-backed PQC suites and HPKE-based</w:t>
      </w:r>
      <w:r>
        <w:t xml:space="preserve"> </w:t>
      </w:r>
      <w:r>
        <w:t xml:space="preserve">encapsulation. We treat this as a deployment instance rather than a</w:t>
      </w:r>
      <w:r>
        <w:t xml:space="preserve"> </w:t>
      </w:r>
      <w:r>
        <w:t xml:space="preserve">protocol dependency; integration details are provided in the</w:t>
      </w:r>
      <w:r>
        <w:t xml:space="preserve"> </w:t>
      </w:r>
      <w:r>
        <w:t xml:space="preserve">Supplementary Materials (Native PQC Integration).</w:t>
      </w:r>
    </w:p>
    <w:bookmarkEnd w:id="43"/>
    <w:bookmarkStart w:id="44" w:name="c.-conditional-compilation-strategy"/>
    <w:p>
      <w:pPr>
        <w:pStyle w:val="Heading2"/>
      </w:pPr>
      <w:r>
        <w:t xml:space="preserve">Conditional Compilation</w:t>
      </w:r>
      <w:r>
        <w:t xml:space="preserve"> </w:t>
      </w:r>
      <w:r>
        <w:t xml:space="preserve">Strategy</w:t>
      </w:r>
    </w:p>
    <w:p>
      <w:pPr>
        <w:pStyle w:val="FirstParagraph"/>
      </w:pPr>
      <w:r>
        <w:t xml:space="preserve">PQC symbols are gated behind build-time flags to keep the codebase</w:t>
      </w:r>
      <w:r>
        <w:t xml:space="preserve"> </w:t>
      </w:r>
      <w:r>
        <w:t xml:space="preserve">buildable on SDKs that lack PQC types and to avoid compile-time</w:t>
      </w:r>
      <w:r>
        <w:t xml:space="preserve"> </w:t>
      </w:r>
      <w:r>
        <w:t xml:space="preserve">failures. The flagging strategy and build settings are detailed in the</w:t>
      </w:r>
      <w:r>
        <w:t xml:space="preserve"> </w:t>
      </w:r>
      <w:r>
        <w:t xml:space="preserve">Supplementary Materials (Conditional Compilation).</w:t>
      </w:r>
    </w:p>
    <w:bookmarkEnd w:id="44"/>
    <w:bookmarkStart w:id="45" w:name="d.-security-event-emission"/>
    <w:p>
      <w:pPr>
        <w:pStyle w:val="Heading2"/>
      </w:pPr>
      <w:r>
        <w:t xml:space="preserve">Security Event</w:t>
      </w:r>
      <w:r>
        <w:t xml:space="preserve"> </w:t>
      </w:r>
      <w:r>
        <w:t xml:space="preserve">Emission</w:t>
      </w:r>
    </w:p>
    <w:p>
      <w:pPr>
        <w:pStyle w:val="FirstParagraph"/>
      </w:pPr>
      <w:r>
        <w:t xml:space="preserve">All cryptographic decisions emit structured events for auditability.</w:t>
      </w:r>
      <w:r>
        <w:t xml:space="preserve"> </w:t>
      </w:r>
      <w:r>
        <w:t xml:space="preserve">The emitter provides backpressure and rate limiting; implementation</w:t>
      </w:r>
      <w:r>
        <w:t xml:space="preserve"> </w:t>
      </w:r>
      <w:r>
        <w:t xml:space="preserve">details are in the Supplementary Materials (Security Event Emission).</w:t>
      </w:r>
    </w:p>
    <w:bookmarkEnd w:id="45"/>
    <w:bookmarkStart w:id="46" w:name="e.-secure-enclave-integration"/>
    <w:p>
      <w:pPr>
        <w:pStyle w:val="Heading2"/>
      </w:pPr>
      <w:r>
        <w:t xml:space="preserve">Secure Enclave</w:t>
      </w:r>
      <w:r>
        <w:t xml:space="preserve"> </w:t>
      </w:r>
      <w:r>
        <w:t xml:space="preserve">Integration</w:t>
      </w:r>
    </w:p>
    <w:p>
      <w:pPr>
        <w:pStyle w:val="FirstParagraph"/>
      </w:pPr>
      <w:r>
        <w:t xml:space="preserve">For hardware-backed signing, a</w:t>
      </w:r>
      <w:r>
        <w:t xml:space="preserve"> </w:t>
      </w:r>
      <w:r>
        <w:rPr>
          <w:rStyle w:val="VerbatimChar"/>
        </w:rPr>
        <w:t xml:space="preserve">SigningCallback</w:t>
      </w:r>
      <w:r>
        <w:t xml:space="preserve"> </w:t>
      </w:r>
      <w:r>
        <w:t xml:space="preserve">protocol allows</w:t>
      </w:r>
      <w:r>
        <w:t xml:space="preserve"> </w:t>
      </w:r>
      <w:r>
        <w:t xml:space="preserve">Secure Enclave keys without exposing private material. Availability,</w:t>
      </w:r>
      <w:r>
        <w:t xml:space="preserve"> </w:t>
      </w:r>
      <w:r>
        <w:t xml:space="preserve">fallback behavior, and key-type details are provided in the</w:t>
      </w:r>
      <w:r>
        <w:t xml:space="preserve"> </w:t>
      </w:r>
      <w:r>
        <w:t xml:space="preserve">Supplementary Materials (Secure Enclave Integration).</w:t>
      </w:r>
    </w:p>
    <w:bookmarkEnd w:id="46"/>
    <w:bookmarkStart w:id="47" w:name="f.-signing-key-hierarchy"/>
    <w:p>
      <w:pPr>
        <w:pStyle w:val="Heading2"/>
      </w:pPr>
      <w:r>
        <w:t xml:space="preserve">Signing Key Hierarchy</w:t>
      </w:r>
    </w:p>
    <w:p>
      <w:pPr>
        <w:pStyle w:val="FirstParagraph"/>
      </w:pPr>
      <w:r>
        <w:t xml:space="preserve">The system uses two complementary signatures: (1) protocol signatures</w:t>
      </w:r>
      <w:r>
        <w:t xml:space="preserve"> </w:t>
      </w:r>
      <w:r>
        <w:t xml:space="preserve">via the negotiated suite (Ed25519 for classic, ML-DSA-65 for PQC) to bind</w:t>
      </w:r>
      <w:r>
        <w:t xml:space="preserve"> </w:t>
      </w:r>
      <w:r>
        <w:t xml:space="preserve">peer identity to the transcript, and (2) optional Secure Enclave</w:t>
      </w:r>
      <w:r>
        <w:t xml:space="preserve"> </w:t>
      </w:r>
      <w:r>
        <w:t xml:space="preserve">P-256 signatures for device proof-of-possession. Protocol signatures are</w:t>
      </w:r>
      <w:r>
        <w:t xml:space="preserve"> </w:t>
      </w:r>
      <w:r>
        <w:t xml:space="preserve">mandatory; Secure Enclave PoP is optional and provides a hardware-backed</w:t>
      </w:r>
      <w:r>
        <w:t xml:space="preserve"> </w:t>
      </w:r>
      <w:r>
        <w:t xml:space="preserve">signal. Key hierarchy details and verification rules are provided in the</w:t>
      </w:r>
      <w:r>
        <w:t xml:space="preserve"> </w:t>
      </w:r>
      <w:r>
        <w:t xml:space="preserve">Supplementary Materials (Signing Key Hierarchy).</w:t>
      </w:r>
    </w:p>
    <w:bookmarkEnd w:id="47"/>
    <w:bookmarkStart w:id="48" w:name="X77f04ca548229ee9227145add78bbe53a197970"/>
    <w:p>
      <w:pPr>
        <w:pStyle w:val="Heading2"/>
      </w:pPr>
      <w:r>
        <w:t xml:space="preserve">Pre-Negotiation Signature Algorithm Selection and</w:t>
      </w:r>
      <w:r>
        <w:t xml:space="preserve"> </w:t>
      </w:r>
      <w:r>
        <w:t xml:space="preserve">Two-Attempt</w:t>
      </w:r>
      <w:r>
        <w:t xml:space="preserve"> </w:t>
      </w:r>
      <w:r>
        <w:t xml:space="preserve">Strategy</w:t>
      </w:r>
    </w:p>
    <w:p>
      <w:pPr>
        <w:pStyle w:val="FirstParagraph"/>
      </w:pPr>
      <w:r>
        <w:t xml:space="preserve">A fundamental challenge is that</w:t>
      </w:r>
      <w:r>
        <w:t xml:space="preserve"> </w:t>
      </w:r>
      <w:r>
        <w:rPr>
          <w:rStyle w:val="VerbatimChar"/>
        </w:rPr>
        <w:t xml:space="preserve">sigA</w:t>
      </w:r>
      <w:r>
        <w:t xml:space="preserve"> </w:t>
      </w:r>
      <w:r>
        <w:t xml:space="preserve">must be generated before</w:t>
      </w:r>
      <w:r>
        <w:t xml:space="preserve"> </w:t>
      </w:r>
      <w:r>
        <w:t xml:space="preserve">negotiation completes, yet the signature algorithm should match the</w:t>
      </w:r>
      <w:r>
        <w:t xml:space="preserve"> </w:t>
      </w:r>
      <w:r>
        <w:t xml:space="preserve">negotiated suite. We resolve this with pre-negotiation signature</w:t>
      </w:r>
      <w:r>
        <w:t xml:space="preserve"> </w:t>
      </w:r>
      <w:r>
        <w:t xml:space="preserve">selection and a two-attempt strategy. Each attempt is homogeneous</w:t>
      </w:r>
      <w:r>
        <w:t xml:space="preserve"> </w:t>
      </w:r>
      <w:r>
        <w:t xml:space="preserve">(PQC-only or classic-only), and the signature algorithm is chosen based</w:t>
      </w:r>
      <w:r>
        <w:t xml:space="preserve"> </w:t>
      </w:r>
      <w:r>
        <w:t xml:space="preserve">on the offered suites. The initiator first attempts PQC, then falls back</w:t>
      </w:r>
      <w:r>
        <w:t xml:space="preserve"> </w:t>
      </w:r>
      <w:r>
        <w:t xml:space="preserve">to classic only for a whitelist of benign, locally generated capability</w:t>
      </w:r>
      <w:r>
        <w:t xml:space="preserve"> </w:t>
      </w:r>
      <w:r>
        <w:t xml:space="preserve">errors after peer identity verification; timeout, signature</w:t>
      </w:r>
      <w:r>
        <w:t xml:space="preserve"> </w:t>
      </w:r>
      <w:r>
        <w:t xml:space="preserve">verification, identity mismatch, replay, and other network-derived</w:t>
      </w:r>
      <w:r>
        <w:t xml:space="preserve"> </w:t>
      </w:r>
      <w:r>
        <w:t xml:space="preserve">failures never trigger fallback. This policy is enforced by the</w:t>
      </w:r>
      <w:r>
        <w:t xml:space="preserve"> </w:t>
      </w:r>
      <w:r>
        <w:t xml:space="preserve">handshake manager and logged as security events. Detailed error lists</w:t>
      </w:r>
      <w:r>
        <w:t xml:space="preserve"> </w:t>
      </w:r>
      <w:r>
        <w:t xml:space="preserve">and type-level enforcement are provided in the Supplementary Materials</w:t>
      </w:r>
      <w:r>
        <w:t xml:space="preserve"> </w:t>
      </w:r>
      <w:r>
        <w:t xml:space="preserve">(Two-Attempt Strategy).</w:t>
      </w:r>
    </w:p>
    <w:p>
      <w:pPr>
        <w:pStyle w:val="BodyText"/>
      </w:pPr>
      <w:r>
        <w:rPr>
          <w:b/>
          <w:bCs/>
        </w:rPr>
        <w:t xml:space="preserve">Fallback Boundary Conditions (Explicit Scope):</w:t>
      </w:r>
    </w:p>
    <w:p>
      <w:pPr>
        <w:numPr>
          <w:ilvl w:val="0"/>
          <w:numId w:val="1018"/>
        </w:numPr>
      </w:pPr>
      <w:r>
        <w:rPr>
          <w:i/>
          <w:iCs/>
        </w:rPr>
        <w:t xml:space="preserve">We defend against:</w:t>
      </w:r>
      <w:r>
        <w:t xml:space="preserve"> </w:t>
      </w:r>
      <w:r>
        <w:t xml:space="preserve">(1) Attacker-induced timeout forcing downgrade (blocked by timeout blacklist); (2) Rapid downgrade cycling via repeated failures (5-minute per-peer cooldown); (3) Signature/identity attacks masquerading as capability failures (verification failures are blacklisted).</w:t>
      </w:r>
    </w:p>
    <w:p>
      <w:pPr>
        <w:numPr>
          <w:ilvl w:val="0"/>
          <w:numId w:val="1018"/>
        </w:numPr>
      </w:pPr>
      <w:r>
        <w:rPr>
          <w:i/>
          <w:iCs/>
        </w:rPr>
        <w:t xml:space="preserve">We do not defend against:</w:t>
      </w:r>
      <w:r>
        <w:t xml:space="preserve"> </w:t>
      </w:r>
      <w:r>
        <w:t xml:space="preserve">(1) Attacker persistently blocking PQC traffic for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5 minutes (availability vs. security trade-off; strictPQC mode provides full protection at cost of connectivity); (2) Legitimate PQC provider failures causing temporary classic fallback (by design, to maintain usability).</w:t>
      </w:r>
    </w:p>
    <w:p>
      <w:pPr>
        <w:numPr>
          <w:ilvl w:val="0"/>
          <w:numId w:val="1018"/>
        </w:numPr>
      </w:pPr>
      <w:r>
        <w:rPr>
          <w:i/>
          <w:iCs/>
        </w:rPr>
        <w:t xml:space="preserve">Cooldown rationale:</w:t>
      </w:r>
      <w:r>
        <w:t xml:space="preserve"> </w:t>
      </w:r>
      <w:r>
        <w:t xml:space="preserve">We set a conservative default of 5 minutes to bound downgrade cycling while limiting availability impact; the cooldown is a tunable policy knob, and strictPQC users requiring zero-downgrade guarantees should disable fallback entirely.</w:t>
      </w:r>
    </w:p>
    <w:p>
      <w:pPr>
        <w:pStyle w:val="FirstParagraph"/>
      </w:pPr>
      <w:r>
        <w:rPr>
          <w:b/>
          <w:bCs/>
        </w:rPr>
        <w:t xml:space="preserve">Attempt State and Identifiability:</w:t>
      </w:r>
    </w:p>
    <w:p>
      <w:pPr>
        <w:numPr>
          <w:ilvl w:val="0"/>
          <w:numId w:val="1019"/>
        </w:numPr>
      </w:pPr>
      <w:r>
        <w:rPr>
          <w:i/>
          <w:iCs/>
        </w:rPr>
        <w:t xml:space="preserve">Shared across attempts:</w:t>
      </w:r>
      <w:r>
        <w:t xml:space="preserve"> </w:t>
      </w:r>
      <w:r>
        <w:t xml:space="preserve">pinned identity fingerprint and pinned KEM public keys (trust record), and per-peer fallback cooldown state.</w:t>
      </w:r>
    </w:p>
    <w:p>
      <w:pPr>
        <w:numPr>
          <w:ilvl w:val="0"/>
          <w:numId w:val="1019"/>
        </w:numPr>
      </w:pPr>
      <w:r>
        <w:rPr>
          <w:i/>
          <w:iCs/>
        </w:rPr>
        <w:t xml:space="preserve">Not shared across attempts:</w:t>
      </w:r>
      <w:r>
        <w:t xml:space="preserve"> </w:t>
      </w:r>
      <w:r>
        <w:t xml:space="preserve">nonces, transcript hashes, handshakeId/replay tags, ephemeral key shares, and session keys; each attempt runs a fresh state machine.</w:t>
      </w:r>
    </w:p>
    <w:p>
      <w:pPr>
        <w:numPr>
          <w:ilvl w:val="0"/>
          <w:numId w:val="1019"/>
        </w:numPr>
      </w:pPr>
      <w:r>
        <w:rPr>
          <w:i/>
          <w:iCs/>
        </w:rPr>
        <w:t xml:space="preserve">Identifiability:</w:t>
      </w:r>
      <w:r>
        <w:t xml:space="preserve"> </w:t>
      </w:r>
      <w:r>
        <w:t xml:space="preserve">a passive observer can distinguish a classic fallback attempt from a PQC attempt by wire format. We do not transmit an explicit attempt counter, and strictPQC disables fallback when capability privacy outweighs compatibility.</w:t>
      </w:r>
    </w:p>
    <w:p>
      <w:pPr>
        <w:pStyle w:val="FirstParagraph"/>
      </w:pPr>
      <w:r>
        <w:rPr>
          <w:b/>
          <w:bCs/>
        </w:rPr>
        <w:t xml:space="preserve">Security Events:</w:t>
      </w:r>
    </w:p>
    <w:p>
      <w:pPr>
        <w:pStyle w:val="BodyText"/>
      </w:pPr>
      <w:r>
        <w:t xml:space="preserve">Every fallback emits a</w:t>
      </w:r>
      <w:r>
        <w:t xml:space="preserve"> </w:t>
      </w:r>
      <w:r>
        <w:rPr>
          <w:rStyle w:val="VerbatimChar"/>
        </w:rPr>
        <w:t xml:space="preserve">cryptoDowngrade</w:t>
      </w:r>
      <w:r>
        <w:t xml:space="preserve"> </w:t>
      </w:r>
      <w:r>
        <w:t xml:space="preserve">event with full</w:t>
      </w:r>
      <w:r>
        <w:t xml:space="preserve"> </w:t>
      </w:r>
      <w:r>
        <w:t xml:space="preserve">context (reason, deviceId, cooldown), enabling audit and anomaly</w:t>
      </w:r>
      <w:r>
        <w:t xml:space="preserve"> </w:t>
      </w:r>
      <w:r>
        <w:t xml:space="preserve">detection.</w:t>
      </w:r>
    </w:p>
    <w:bookmarkEnd w:id="48"/>
    <w:bookmarkEnd w:id="49"/>
    <w:bookmarkStart w:id="87" w:name="sec:evaluation"/>
    <w:p>
      <w:pPr>
        <w:pStyle w:val="Heading1"/>
      </w:pPr>
      <w:r>
        <w:t xml:space="preserve">Evaluation</w:t>
      </w:r>
    </w:p>
    <w:bookmarkStart w:id="50" w:name="a.-experimental-setup"/>
    <w:p>
      <w:pPr>
        <w:pStyle w:val="Heading2"/>
      </w:pPr>
      <w:r>
        <w:t xml:space="preserve">Experimental Setup</w:t>
      </w:r>
    </w:p>
    <w:p>
      <w:pPr>
        <w:pStyle w:val="FirstParagraph"/>
      </w:pPr>
      <w:r>
        <w:t xml:space="preserve">We evaluate SkyBridge Compass along two primary tracks:</w:t>
      </w:r>
      <w:r>
        <w:t xml:space="preserve"> </w:t>
      </w:r>
      <w:r>
        <w:rPr>
          <w:b/>
          <w:bCs/>
        </w:rPr>
        <w:t xml:space="preserve">security-centric evidence</w:t>
      </w:r>
      <w:r>
        <w:t xml:space="preserve"> </w:t>
      </w:r>
      <w:r>
        <w:t xml:space="preserve">(fault injection, downgrade</w:t>
      </w:r>
      <w:r>
        <w:t xml:space="preserve"> </w:t>
      </w:r>
      <w:r>
        <w:t xml:space="preserve">suppression, legacy precondition enforcement, and auditability) and</w:t>
      </w:r>
      <w:r>
        <w:t xml:space="preserve"> </w:t>
      </w:r>
      <w:r>
        <w:rPr>
          <w:b/>
          <w:bCs/>
        </w:rPr>
        <w:t xml:space="preserve">cost-centric evidence</w:t>
      </w:r>
      <w:r>
        <w:t xml:space="preserve"> </w:t>
      </w:r>
      <w:r>
        <w:t xml:space="preserve">(handshake latency, wire overhead,</w:t>
      </w:r>
      <w:r>
        <w:t xml:space="preserve"> </w:t>
      </w:r>
      <w:r>
        <w:t xml:space="preserve">provider selection overhead, and data-plane throughput).</w:t>
      </w:r>
    </w:p>
    <w:p>
      <w:pPr>
        <w:pStyle w:val="BodyText"/>
      </w:pPr>
      <w:r>
        <w:rPr>
          <w:b/>
          <w:bCs/>
        </w:rPr>
        <w:t xml:space="preserve">Environment:</w:t>
      </w:r>
      <w:r>
        <w:t xml:space="preserve"> </w:t>
      </w:r>
      <w:r>
        <w:t xml:space="preserve">All experiments are run on Apple Silicon (M1/M3 class) with macOS 26.x, where CryptoKit PQC is available when the SDK exposes ML-KEM/ML-DSA types. Build configuration uses Release (</w:t>
      </w:r>
      <w:r>
        <w:rPr>
          <w:rStyle w:val="VerbatimChar"/>
        </w:rPr>
        <w:t xml:space="preserve">-O</w:t>
      </w:r>
      <w:r>
        <w:t xml:space="preserve">) with non-essential logging disabled. Timing uses a monotonic clock (</w:t>
      </w:r>
      <w:r>
        <w:rPr>
          <w:rStyle w:val="VerbatimChar"/>
        </w:rPr>
        <w:t xml:space="preserve">ContinuousClock</w:t>
      </w:r>
      <w:r>
        <w:t xml:space="preserve">) with N=1000 iterations after 10 warmup runs; reported percentiles (p50/p95/p99) are computed directly from samples.</w:t>
      </w:r>
    </w:p>
    <w:p>
      <w:pPr>
        <w:pStyle w:val="BodyText"/>
      </w:pPr>
      <w:r>
        <w:rPr>
          <w:b/>
          <w:bCs/>
        </w:rPr>
        <w:t xml:space="preserve">Repeatability:</w:t>
      </w:r>
      <w:r>
        <w:t xml:space="preserve"> </w:t>
      </w:r>
      <w:r>
        <w:t xml:space="preserve">For each configuration, we run 3–5 independent</w:t>
      </w:r>
      <w:r>
        <w:t xml:space="preserve"> </w:t>
      </w:r>
      <w:r>
        <w:t xml:space="preserve">batches by restarting the benchmark test process; Supplementary</w:t>
      </w:r>
      <w:r>
        <w:t xml:space="preserve"> </w:t>
      </w:r>
      <w:r>
        <w:t xml:space="preserve">Tables </w:t>
      </w:r>
      <w:hyperlink w:anchor="tab:supp-repeatability-latency">
        <w:r>
          <w:rPr>
            <w:rStyle w:val="Hyperlink"/>
          </w:rPr>
          <w:t xml:space="preserve">[tab:supp-repeatability-latency]</w:t>
        </w:r>
      </w:hyperlink>
      <w:r>
        <w:t xml:space="preserve">–</w:t>
      </w:r>
      <w:hyperlink w:anchor="tab:supp-repeatability-rtt">
        <w:r>
          <w:rPr>
            <w:rStyle w:val="Hyperlink"/>
          </w:rPr>
          <w:t xml:space="preserve">[tab:supp-repeatability-rtt]</w:t>
        </w:r>
      </w:hyperlink>
      <w:r>
        <w:t xml:space="preserve"> </w:t>
      </w:r>
      <w:r>
        <w:t xml:space="preserve">report mean and 95% confidence intervals across batches.</w:t>
      </w:r>
    </w:p>
    <w:p>
      <w:pPr>
        <w:pStyle w:val="BodyText"/>
      </w:pPr>
      <w:r>
        <w:rPr>
          <w:b/>
          <w:bCs/>
        </w:rPr>
        <w:t xml:space="preserve">Reproducibility:</w:t>
      </w:r>
      <w:r>
        <w:t xml:space="preserve"> </w:t>
      </w:r>
      <w:r>
        <w:t xml:space="preserve">We ship an opt-in benchmark suite under</w:t>
      </w:r>
      <w:r>
        <w:t xml:space="preserve"> </w:t>
      </w:r>
      <w:r>
        <w:rPr>
          <w:rStyle w:val="VerbatimChar"/>
        </w:rPr>
        <w:t xml:space="preserve">Tests/SkyBridgeCoreTests/</w:t>
      </w:r>
      <w:r>
        <w:t xml:space="preserve">. For a one-shot run, use</w:t>
      </w:r>
      <w:r>
        <w:t xml:space="preserve"> </w:t>
      </w:r>
      <w:r>
        <w:rPr>
          <w:rStyle w:val="VerbatimChar"/>
        </w:rPr>
        <w:t xml:space="preserve">Scripts/run_paper_eval.sh</w:t>
      </w:r>
      <w:r>
        <w:t xml:space="preserve">. The complete command reference and CSV artifact specifications are provided in the Supplementary Materials (Reproducibility).</w:t>
      </w:r>
    </w:p>
    <w:p>
      <w:pPr>
        <w:pStyle w:val="BodyText"/>
      </w:pPr>
      <w:r>
        <w:rPr>
          <w:b/>
          <w:bCs/>
        </w:rPr>
        <w:t xml:space="preserve">iOS Reproducibility:</w:t>
      </w:r>
      <w:r>
        <w:t xml:space="preserve"> </w:t>
      </w:r>
      <w:r>
        <w:t xml:space="preserve">Because CI-style automation for iOS PQC</w:t>
      </w:r>
      <w:r>
        <w:t xml:space="preserve"> </w:t>
      </w:r>
      <w:r>
        <w:t xml:space="preserve">measurements is sensitive to device availability and simulator runtime</w:t>
      </w:r>
      <w:r>
        <w:t xml:space="preserve"> </w:t>
      </w:r>
      <w:r>
        <w:t xml:space="preserve">support, we also ship an on-device micro-benchmark in the iOS app that</w:t>
      </w:r>
      <w:r>
        <w:t xml:space="preserve"> </w:t>
      </w:r>
      <w:r>
        <w:t xml:space="preserve">exports JSON artifacts (timestamped) for Supplementary tables. This</w:t>
      </w:r>
      <w:r>
        <w:t xml:space="preserve"> </w:t>
      </w:r>
      <w:r>
        <w:t xml:space="preserve">enables independent reproduction of KEM, signature, and KEM–DEM costs on</w:t>
      </w:r>
      <w:r>
        <w:t xml:space="preserve"> </w:t>
      </w:r>
      <w:r>
        <w:t xml:space="preserve">commodity iOS 26+ hardware without modifying the protocol code paths.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 encaps.</w:t>
            </w:r>
            <w:r>
              <w:br/>
            </w:r>
            <w:r>
              <w:t xml:space="preserve">(mean/p99)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</w:t>
            </w:r>
            <w:r>
              <w:br/>
            </w:r>
            <w:r>
              <w:t xml:space="preserve">(mean/p99)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br/>
            </w:r>
            <w:r>
              <w:t xml:space="preserve">(mean/p99)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seal+open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(mean/p99)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 (X25519 + Ed25519)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 0.704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 0.126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 0.133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 0.534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CryptoKit PQC (ML-KEM-768 + ML-DSA-65)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 0.190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 2.108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 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 0.272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CryptoKit Hybrid (X-Wing + ML-DSA-65)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 0.452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 2.654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 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 0.391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 loopback microbench isolates cryptographic and state-machine overhead; it does not model OS network stacks, NAT traversal, or heterogeneous access networks. We report simulated impairments separately (Section </w:t>
      </w:r>
      <w:hyperlink w:anchor="sec:network-conditions">
        <w:r>
          <w:rPr>
            <w:rStyle w:val="Hyperlink"/>
          </w:rPr>
          <w:t xml:space="preserve">6.4</w:t>
        </w:r>
      </w:hyperlink>
      <w:r>
        <w:t xml:space="preserve">) and list real-network end-to-end measurement as future work (Section </w:t>
      </w:r>
      <w:hyperlink w:anchor="sec:limitations">
        <w:r>
          <w:rPr>
            <w:rStyle w:val="Hyperlink"/>
          </w:rPr>
          <w:t xml:space="preserve">7</w:t>
        </w:r>
      </w:hyperlink>
      <w:r>
        <w:t xml:space="preserve">).</w:t>
      </w:r>
    </w:p>
    <w:bookmarkEnd w:id="50"/>
    <w:bookmarkStart w:id="67" w:name="b.-security-centric-evaluation"/>
    <w:p>
      <w:pPr>
        <w:pStyle w:val="Heading2"/>
      </w:pPr>
      <w:r>
        <w:t xml:space="preserve">Security Validation</w:t>
      </w:r>
    </w:p>
    <w:p>
      <w:pPr>
        <w:pStyle w:val="FirstParagraph"/>
      </w:pPr>
      <w:r>
        <w:t xml:space="preserve">We validate security properties through fault injection, property-based</w:t>
      </w:r>
      <w:r>
        <w:t xml:space="preserve"> </w:t>
      </w:r>
      <w:r>
        <w:t xml:space="preserve">testing, and audit-signal fidelity analysis. This section presents the</w:t>
      </w:r>
      <w:r>
        <w:t xml:space="preserve"> </w:t>
      </w:r>
      <w:r>
        <w:t xml:space="preserve">key results; detailed test matrices and methodology are provided in the</w:t>
      </w:r>
      <w:r>
        <w:t xml:space="preserve"> </w:t>
      </w:r>
      <w:r>
        <w:t xml:space="preserve">Supplementary Materials (Regression Testing).</w:t>
      </w:r>
    </w:p>
    <w:p>
      <w:pPr>
        <w:pStyle w:val="BodyText"/>
      </w:pPr>
      <w:r>
        <w:rPr>
          <w:b/>
          <w:bCs/>
        </w:rPr>
        <w:t xml:space="preserve">Failure-Mode Robustness.</w:t>
      </w:r>
      <w:r>
        <w:t xml:space="preserve"> </w:t>
      </w:r>
      <w:r>
        <w:t xml:space="preserve">The actor-isolated handshake driver provides deterministic failure semantics without unhandled errors, double-resume, or sensitive-material leaks. We inject faults including timeout, malformed framing, invalid signatures, out-of-order delivery, and concurrent cancellation (n=1000 per scenario per policy).</w:t>
      </w:r>
    </w:p>
    <w:p>
      <w:pPr>
        <w:pStyle w:val="BodyText"/>
      </w:pPr>
      <w:r>
        <w:rPr>
          <w:b/>
          <w:bCs/>
        </w:rPr>
        <w:t xml:space="preserve">Unknown-suite handling:</w:t>
      </w:r>
      <w:r>
        <w:t xml:space="preserve"> </w:t>
      </w:r>
      <w:r>
        <w:t xml:space="preserve">We parse unknown suite identifiers as an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unknown(wireId)</w:t>
      </w:r>
      <w:r>
        <w:t xml:space="preserve"> </w:t>
      </w:r>
      <w:r>
        <w:t xml:space="preserve">value and reject them if they appear in</w:t>
      </w:r>
      <w:r>
        <w:t xml:space="preserve"> </w:t>
      </w:r>
      <w:r>
        <w:rPr>
          <w:rStyle w:val="VerbatimChar"/>
        </w:rPr>
        <w:t xml:space="preserve">keyShares</w:t>
      </w:r>
      <w:r>
        <w:t xml:space="preserve"> </w:t>
      </w:r>
      <w:r>
        <w:t xml:space="preserve">or as</w:t>
      </w:r>
      <w:r>
        <w:t xml:space="preserve"> </w:t>
      </w:r>
      <w:r>
        <w:rPr>
          <w:rStyle w:val="VerbatimChar"/>
        </w:rPr>
        <w:t xml:space="preserve">selectedSuite</w:t>
      </w:r>
      <w:r>
        <w:t xml:space="preserve">. This prevents silent</w:t>
      </w:r>
      <w:r>
        <w:t xml:space="preserve"> </w:t>
      </w:r>
      <w:r>
        <w:t xml:space="preserve">“unknown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classic”</w:t>
      </w:r>
      <w:r>
        <w:t xml:space="preserve"> </w:t>
      </w:r>
      <w:r>
        <w:t xml:space="preserve">coercions that would otherwise weaken</w:t>
      </w:r>
      <w:r>
        <w:t xml:space="preserve"> </w:t>
      </w:r>
      <w:r>
        <w:t xml:space="preserve">downgrade guarantees.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Failure Mode</w:t>
            </w:r>
          </w:p>
        </w:tc>
        <w:tc>
          <w:tcPr/>
          <w:p>
            <w:pPr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cr m:val="monospace"/>
                      <m:sty m:val="p"/>
                    </m:rPr>
                    <m:t>handshakeFailed</m:t>
                  </m:r>
                </m:sub>
              </m:sSub>
            </m:oMath>
          </w:p>
        </w:tc>
        <w:tc>
          <w:tcPr/>
          <w:p>
            <w:pPr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cr m:val="monospace"/>
                      <m:sty m:val="p"/>
                    </m:rPr>
                    <m:t>cryptoDowngrade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Out-of-order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Delay within timeout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Delay exceed timeout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Corrupt header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Corrupt payload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signature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cancel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timeout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delay-within-timeout and delay-exceed-timeout scenarios approximate</w:t>
      </w:r>
      <w:r>
        <w:t xml:space="preserve"> </w:t>
      </w:r>
      <w:r>
        <w:t xml:space="preserve">RTT jitter and loss-induced stalls, while drop and duplicate cases</w:t>
      </w:r>
      <w:r>
        <w:t xml:space="preserve"> </w:t>
      </w:r>
      <w:r>
        <w:t xml:space="preserve">approximate packet loss and reordering. The per-scenario event</w:t>
      </w:r>
      <w:r>
        <w:t xml:space="preserve"> </w:t>
      </w:r>
      <w:r>
        <w:t xml:space="preserve">distributions are recorded in</w:t>
      </w:r>
      <w:r>
        <w:t xml:space="preserve"> </w:t>
      </w:r>
      <w:r>
        <w:rPr>
          <w:rStyle w:val="VerbatimChar"/>
        </w:rPr>
        <w:t xml:space="preserve">Artifacts/fault_injection_-01-16.csv</w:t>
      </w:r>
      <w:r>
        <w:t xml:space="preserve">.</w:t>
      </w:r>
    </w:p>
    <w:p>
      <w:pPr>
        <w:pStyle w:val="BodyText"/>
      </w:pPr>
      <w:r>
        <w:t xml:space="preserve">Downgrade events are quantified separately in the policy bench (Fig. </w:t>
      </w:r>
      <w:hyperlink w:anchor="fig:policy-downgrade">
        <w:r>
          <w:rPr>
            <w:rStyle w:val="Hyperlink"/>
          </w:rPr>
          <w:t xml:space="preserve">4</w:t>
        </w:r>
      </w:hyperlink>
      <w:r>
        <w:t xml:space="preserve">)</w:t>
      </w:r>
      <w:r>
        <w:t xml:space="preserve"> </w:t>
      </w:r>
      <w:r>
        <w:t xml:space="preserve">to avoid conflating fallback behavior with transport corruption</w:t>
      </w:r>
      <w:r>
        <w:t xml:space="preserve"> </w:t>
      </w:r>
      <w:r>
        <w:t xml:space="preserve">scenarios.</w:t>
      </w:r>
    </w:p>
    <w:bookmarkStart w:id="54" w:name="fig:policy-downgrade"/>
    <w:p>
      <w:pPr>
        <w:pStyle w:val="CaptionedFigure"/>
      </w:pPr>
      <w:r>
        <w:drawing>
          <wp:inline>
            <wp:extent cx="3009900" cy="14605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ures/fig_policy_downgrade.pdf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46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Policy guard enforces strictPQC: fallback events per</w:t>
      </w:r>
      <w:r>
        <w:t xml:space="preserve"> </w:t>
      </w:r>
      <w:r>
        <w:t xml:space="preserve">1000 runs, macOS 26.x, N=1000 per policy. Error bars show 95% Wilson binomial CI.</w:t>
      </w:r>
    </w:p>
    <w:bookmarkEnd w:id="54"/>
    <w:p>
      <w:pPr>
        <w:pStyle w:val="BodyText"/>
      </w:pPr>
      <w:r>
        <w:t xml:space="preserve">The plot in Fig. </w:t>
      </w:r>
      <w:hyperlink w:anchor="fig:policy-downgrade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uses the policy-downgrade</w:t>
      </w:r>
      <w:r>
        <w:t xml:space="preserve"> </w:t>
      </w:r>
      <w:r>
        <w:t xml:space="preserve">dataset. File:</w:t>
      </w:r>
      <w:r>
        <w:t xml:space="preserve"> </w:t>
      </w:r>
      <w:r>
        <w:rPr>
          <w:rStyle w:val="VerbatimChar"/>
        </w:rPr>
        <w:t xml:space="preserve">policy_downgrade_2026-01-16.csv</w:t>
      </w:r>
      <w:r>
        <w:t xml:space="preserve">. It</w:t>
      </w:r>
      <w:r>
        <w:t xml:space="preserve"> </w:t>
      </w:r>
      <w:r>
        <w:t xml:space="preserve">demonstrates that strictPQC never emits fallback events even under</w:t>
      </w:r>
      <w:r>
        <w:t xml:space="preserve"> </w:t>
      </w:r>
      <w:r>
        <w:t xml:space="preserve">forced PQC-unavailable errors; default policy shows non-zero downgrade</w:t>
      </w:r>
      <w:r>
        <w:t xml:space="preserve"> </w:t>
      </w:r>
      <w:r>
        <w:t xml:space="preserve">events.</w:t>
      </w:r>
    </w:p>
    <w:bookmarkStart w:id="58" w:name="fig:downgrade-matrix"/>
    <w:p>
      <w:pPr>
        <w:pStyle w:val="CaptionedFigure"/>
      </w:pPr>
      <w:r>
        <w:drawing>
          <wp:inline>
            <wp:extent cx="3009900" cy="16383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figures/fig_downgrade_matrix.pdf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Downgrade decision matrix (policy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error) with</w:t>
      </w:r>
      <w:r>
        <w:t xml:space="preserve"> </w:t>
      </w:r>
      <w:r>
        <w:t xml:space="preserve">explicit allow/deny semantics, macOS 26.x. Each cell is labeled ALLOW or DENY for grayscale readability.</w:t>
      </w:r>
    </w:p>
    <w:bookmarkEnd w:id="58"/>
    <w:p>
      <w:pPr>
        <w:pStyle w:val="BodyText"/>
      </w:pPr>
      <w:r>
        <w:t xml:space="preserve">Fig. </w:t>
      </w:r>
      <w:hyperlink w:anchor="fig:downgrade-matrix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encodes the explicit downgrade whitelist/blacklist: only</w:t>
      </w:r>
      <w:r>
        <w:t xml:space="preserve"> </w:t>
      </w:r>
      <w:r>
        <w:t xml:space="preserve">PQC-unavailability and suite-selection errors may fallback under default</w:t>
      </w:r>
      <w:r>
        <w:t xml:space="preserve"> </w:t>
      </w:r>
      <w:r>
        <w:t xml:space="preserve">policy; strictPQC denies all fallback edges.</w:t>
      </w:r>
    </w:p>
    <w:bookmarkStart w:id="62" w:name="fig:failure-histogram"/>
    <w:p>
      <w:pPr>
        <w:pStyle w:val="CaptionedFigure"/>
      </w:pPr>
      <w:r>
        <w:drawing>
          <wp:inline>
            <wp:extent cx="3009900" cy="16129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figures/fig_failure_histogram.pdf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Failure-mode histogram of security events, macOS 26.x,</w:t>
      </w:r>
      <w:r>
        <w:t xml:space="preserve"> </w:t>
      </w:r>
      <w:r>
        <w:t xml:space="preserve">N=1000 per scenario.</w:t>
      </w:r>
    </w:p>
    <w:bookmarkEnd w:id="62"/>
    <w:p>
      <w:pPr>
        <w:pStyle w:val="BodyText"/>
      </w:pPr>
      <w:r>
        <w:t xml:space="preserve">Fig. </w:t>
      </w:r>
      <w:hyperlink w:anchor="fig:failure-histogram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combines fault-injection counts with the downgrade-acceptance</w:t>
      </w:r>
      <w:r>
        <w:t xml:space="preserve"> </w:t>
      </w:r>
      <w:r>
        <w:t xml:space="preserve">event from the policy bench to visualize observability of failures and</w:t>
      </w:r>
      <w:r>
        <w:t xml:space="preserve"> </w:t>
      </w:r>
      <w:r>
        <w:t xml:space="preserve">downgrades across policy modes.</w:t>
      </w:r>
    </w:p>
    <w:p>
      <w:pPr>
        <w:pStyle w:val="BodyText"/>
      </w:pPr>
      <w:r>
        <w:rPr>
          <w:b/>
          <w:bCs/>
        </w:rPr>
        <w:t xml:space="preserve">Property-Oriented Testing.</w:t>
      </w:r>
      <w:r>
        <w:t xml:space="preserve"> </w:t>
      </w:r>
      <w:r>
        <w:t xml:space="preserve">Correctness properties are validated with property-based tests using reproducible seeds (0xDEADBEEF). Key properties include: (1) KEM-DEM round-trip correctness across all providers (100 trials), (2) signature verification integrity (100 payloads per provider), (3) secure zeroization on deallocation, and (4) state-machine single-resume guarantee under concurrent stress (500 iterations). A standalone Python decoder (</w:t>
      </w:r>
      <w:r>
        <w:rPr>
          <w:rStyle w:val="VerbatimChar"/>
        </w:rPr>
        <w:t xml:space="preserve">Scripts/wire_format_sanity.py</w:t>
      </w:r>
      <w:r>
        <w:t xml:space="preserve">) provides non-Swift interoperability validation of wire formats.</w:t>
      </w:r>
    </w:p>
    <w:p>
      <w:pPr>
        <w:pStyle w:val="BodyText"/>
      </w:pPr>
      <w:r>
        <w:rPr>
          <w:b/>
          <w:bCs/>
        </w:rPr>
        <w:t xml:space="preserve">ML-DSA Key Lifecycle.</w:t>
      </w:r>
      <w:r>
        <w:t xml:space="preserve"> </w:t>
      </w:r>
      <w:r>
        <w:t xml:space="preserve">ML-DSA-65 key generation, storage, and sign-verify operations are</w:t>
      </w:r>
      <w:r>
        <w:t xml:space="preserve"> </w:t>
      </w:r>
      <w:r>
        <w:t xml:space="preserve">validated against FIPS 204 specifications</w:t>
      </w:r>
      <w:r>
        <w:t xml:space="preserve"> </w:t>
      </w:r>
      <w:r>
        <w:t xml:space="preserve">. Size compliance</w:t>
      </w:r>
      <w:r>
        <w:t xml:space="preserve"> </w:t>
      </w:r>
      <w:r>
        <w:t xml:space="preserve">results are reported in the Supplementary Materials (ML-DSA Key Sizes);</w:t>
      </w:r>
      <w:r>
        <w:t xml:space="preserve"> </w:t>
      </w:r>
      <w:r>
        <w:t xml:space="preserve">all property tests (round-trip, tampering detection, key independence)</w:t>
      </w:r>
      <w:r>
        <w:t xml:space="preserve"> </w:t>
      </w:r>
      <w:r>
        <w:t xml:space="preserve">achieve 100% pass rate. Keys are stored in Keychain with</w:t>
      </w:r>
      <w:r>
        <w:t xml:space="preserve"> </w:t>
      </w:r>
      <w:r>
        <w:rPr>
          <w:rStyle w:val="VerbatimChar"/>
        </w:rPr>
        <w:t xml:space="preserve">kSecAttrAccessibleAfterFirstUnlockThisDeviceOnly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kSecAttrSynchronizable=false</w:t>
      </w:r>
      <w:r>
        <w:t xml:space="preserve"> </w:t>
      </w:r>
      <w:r>
        <w:t xml:space="preserve">to ensure</w:t>
      </w:r>
      <w:r>
        <w:t xml:space="preserve"> </w:t>
      </w:r>
      <w:r>
        <w:t xml:space="preserve">device-local protection.</w:t>
      </w:r>
    </w:p>
    <w:p>
      <w:pPr>
        <w:pStyle w:val="BodyText"/>
      </w:pPr>
      <w:r>
        <w:rPr>
          <w:b/>
          <w:bCs/>
        </w:rPr>
        <w:t xml:space="preserve">Legacy Fallback Security.</w:t>
      </w:r>
      <w:r>
        <w:t xml:space="preserve"> </w:t>
      </w:r>
      <w:r>
        <w:t xml:space="preserve">Legacy P-256 signatures are only accepted when a security precondition is satisfied: (1) authenticated out-of-band channel (QR code, PAKE/PIN), or (2) existing TrustRecord with</w:t>
      </w:r>
      <w:r>
        <w:t xml:space="preserve"> </w:t>
      </w:r>
      <w:r>
        <w:rPr>
          <w:rStyle w:val="VerbatimChar"/>
        </w:rPr>
        <w:t xml:space="preserve">legacyP256PublicKey</w:t>
      </w:r>
      <w:r>
        <w:t xml:space="preserve">. Pure network stranger connections are rejected to prevent downgrade attacks.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jc w:val="left"/>
            </w:pPr>
            <w:r>
              <w:t xml:space="preserve">Scenario</w:t>
            </w:r>
          </w:p>
        </w:tc>
        <w:tc>
          <w:tcPr/>
          <w:p>
            <w:pPr>
              <w:jc w:val="left"/>
            </w:pPr>
            <w:r>
              <w:t xml:space="preserve">Precondition</w:t>
            </w:r>
          </w:p>
        </w:tc>
        <w:tc>
          <w:tcPr/>
          <w:p>
            <w:pPr>
              <w:jc w:val="left"/>
            </w:pPr>
            <w:r>
              <w:t xml:space="preserve">Expected Result</w:t>
            </w:r>
          </w:p>
        </w:tc>
        <w:tc>
          <w:tcPr/>
          <w:p>
            <w:pPr>
              <w:jc w:val="left"/>
            </w:pPr>
            <w:r>
              <w:t xml:space="preserve">Actual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Pure network stranger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code pairing (verified)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PAKE pairing (verified)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TrustRecord with legacy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existingTrustRecord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TrustRecord without legacy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Unverified authenticated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Reject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Property 7 (Legacy Fallback Security Precondition):</w:t>
      </w:r>
      <w:r>
        <w:t xml:space="preserve"> </w:t>
      </w:r>
      <w:r>
        <w:t xml:space="preserve">A legacy</w:t>
      </w:r>
      <w:r>
        <w:t xml:space="preserve"> </w:t>
      </w:r>
      <w:r>
        <w:t xml:space="preserve">P-256 signature SHALL only be accepted when a security precondition is</w:t>
      </w:r>
      <w:r>
        <w:t xml:space="preserve"> </w:t>
      </w:r>
      <w:r>
        <w:t xml:space="preserve">satisfied. Pure network stranger connections SHALL be rejected.</w:t>
      </w:r>
      <w:r>
        <w:t xml:space="preserve"> </w:t>
      </w:r>
      <w:r>
        <w:t xml:space="preserve">Validated with 12 test cases covering all precondition combinations (100% coverage of the precondition state space).</w:t>
      </w:r>
    </w:p>
    <w:p>
      <w:pPr>
        <w:pStyle w:val="BodyText"/>
      </w:pPr>
      <w:r>
        <w:rPr>
          <w:b/>
          <w:bCs/>
        </w:rPr>
        <w:t xml:space="preserve">Audit-Signal Fidelity.</w:t>
      </w:r>
      <w:r>
        <w:t xml:space="preserve"> </w:t>
      </w:r>
      <w:r>
        <w:t xml:space="preserve">Security events provide deterministic, audit-friendly (best-effort, non-cryptographic) telemetry of failures and policy decisions. Fig. </w:t>
      </w:r>
      <w:hyperlink w:anchor="fig:event-trace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illustrates a representative timeout trace showing attacker action, policy gate response, and emitted event.</w:t>
      </w:r>
    </w:p>
    <w:p>
      <w:pPr>
        <w:pStyle w:val="BodyText"/>
      </w:pPr>
      <w:r>
        <w:rPr>
          <w:i/>
          <w:iCs/>
        </w:rPr>
        <w:t xml:space="preserve">Evaluation approach:</w:t>
      </w:r>
      <w:r>
        <w:t xml:space="preserve"> </w:t>
      </w:r>
      <w:r>
        <w:t xml:space="preserve">We evaluate audit-signal fidelity using a spec-to-event mapping consistency metric,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statistical classifier. Each fault-injection scenario deterministically maps to exactly one expected trace template (event sequence), e.g., timeout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handshakeFailed=1, cryptoDowngrade=0</w:t>
      </w:r>
      <w:r>
        <w:t xml:space="preserve">. Match rate (MR)=1.00 means all N iterations matched the expected template; spurious rate (SR)=0.00 means no unexpected events were emitted. This is regression consistency against the protocol specification, not ML classification performance.</w:t>
      </w:r>
    </w:p>
    <w:p>
      <w:pPr>
        <w:pStyle w:val="BodyText"/>
      </w:pPr>
      <w:r>
        <w:t xml:space="preserve">Table </w:t>
      </w:r>
      <w:hyperlink w:anchor="tab:audit-signal-fidelity">
        <w:r>
          <w:rPr>
            <w:rStyle w:val="Hyperlink"/>
          </w:rPr>
          <w:t xml:space="preserve">[tab:audit-signal-fidelity]</w:t>
        </w:r>
      </w:hyperlink>
      <w:r>
        <w:t xml:space="preserve"> </w:t>
      </w:r>
      <w:r>
        <w:t xml:space="preserve">summarizes results across all fault-injection scenarios: all scenario classes achieve 1.00 match and 0.00 spurious rates, confirming correct event semantics.</w:t>
      </w:r>
    </w:p>
    <w:bookmarkStart w:id="66" w:name="fig:event-traces"/>
    <w:p>
      <w:pPr>
        <w:pStyle w:val="CaptionedFigure"/>
      </w:pPr>
      <w:r>
        <w:drawing>
          <wp:inline>
            <wp:extent cx="3009900" cy="12700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figures/fig_event_traces.pdf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27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Audit-signal event trace (representative timeout case)</w:t>
      </w:r>
      <w:r>
        <w:t xml:space="preserve"> </w:t>
      </w:r>
      <w:r>
        <w:t xml:space="preserve">showing attacker action, policy gate, and emitted event.</w:t>
      </w:r>
    </w:p>
    <w:bookmarkEnd w:id="66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Match (MR)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Spurious (SR)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Drop/Timeout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handshakeFailed=1, cryptoDowngrade=0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Drop/Timeout (strictPQC)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handshakeFailed=1, cryptoDowngrade=0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Corrupt/Wrong Sig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handshakeFailed=1, cryptoDowngrade=0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Ordering Benign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handshakeFailed=0, cryptoDowngrade=0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 unavailable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cryptoDowngrade=1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 unavailable (strictPQC)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cryptoDowngrade=0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Due to space constraints, the complete regression test matrix, TLV encoding validation, and implementation component details are provided in the Supplementary Materials (Regression Testing and Artifact Map).</w:t>
      </w:r>
    </w:p>
    <w:bookmarkEnd w:id="67"/>
    <w:bookmarkStart w:id="85" w:name="c.-cost-centric-evaluation"/>
    <w:p>
      <w:pPr>
        <w:pStyle w:val="Heading2"/>
      </w:pPr>
      <w:r>
        <w:t xml:space="preserve">Performance Benchmarks</w:t>
      </w:r>
    </w:p>
    <w:p>
      <w:pPr>
        <w:pStyle w:val="FirstParagraph"/>
      </w:pPr>
      <w:r>
        <w:t xml:space="preserve">Table </w:t>
      </w:r>
      <w:hyperlink w:anchor="tab:perf-summary">
        <w:r>
          <w:rPr>
            <w:rStyle w:val="Hyperlink"/>
          </w:rPr>
          <w:t xml:space="preserve">[tab:perf-summary]</w:t>
        </w:r>
      </w:hyperlink>
      <w:r>
        <w:t xml:space="preserve"> </w:t>
      </w:r>
      <w:r>
        <w:t xml:space="preserve">consolidates all performance metrics. We measure end-to-end handshake completion time using an in-memory loopback transport to isolate cryptographic and state-machine overhead. Each configuration reports distributional statistics over N=1000 iterations after 10 warmup runs.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Handshake Latency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RTT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Wire 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Throughput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  <w:r>
              <w:t xml:space="preserve"> </w:t>
            </w:r>
            <w:r>
              <w:t xml:space="preserve">(lr)</w:t>
            </w:r>
            <w:r>
              <w:t xml:space="preserve">4-5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 (ms)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p95 (ms)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p50 (ms)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p95 (ms)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(bytes)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(GB/s)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liboqs PQC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12,163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CryptoKit PQC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12,163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</w:t>
            </w:r>
          </w:p>
        </w:tc>
      </w:tr>
    </w:tbl>
    <w:p>
      <w:pPr>
        <w:pStyle w:val="BodyText"/>
      </w:pPr>
      <w:r>
        <w:rPr>
          <w:b/>
          <w:bCs/>
        </w:rPr>
        <w:t xml:space="preserve">Latency Distribution.</w:t>
      </w:r>
      <w:r>
        <w:t xml:space="preserve"> </w:t>
      </w:r>
      <w:r>
        <w:t xml:space="preserve">Fig. </w:t>
      </w:r>
      <w:hyperlink w:anchor="fig:handshake-latency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shows latency percentiles across</w:t>
      </w:r>
      <w:r>
        <w:t xml:space="preserve"> </w:t>
      </w:r>
      <w:r>
        <w:t xml:space="preserve">configurations. Classic handshakes remain under 2 ms at p99; CryptoKit</w:t>
      </w:r>
      <w:r>
        <w:t xml:space="preserve"> </w:t>
      </w:r>
      <w:r>
        <w:t xml:space="preserve">PQC stays under 6.4 ms at p99 with variance dominated by ML-DSA signature</w:t>
      </w:r>
      <w:r>
        <w:t xml:space="preserve"> </w:t>
      </w:r>
      <w:r>
        <w:t xml:space="preserve">verification overhead. Extended statistics (mean/p50/p95/p99, std) are</w:t>
      </w:r>
      <w:r>
        <w:t xml:space="preserve"> </w:t>
      </w:r>
      <w:r>
        <w:t xml:space="preserve">available in Supplementary Tables </w:t>
      </w:r>
      <w:hyperlink w:anchor="tab:supp-latency">
        <w:r>
          <w:rPr>
            <w:rStyle w:val="Hyperlink"/>
          </w:rPr>
          <w:t xml:space="preserve">[tab:supp-latency]</w:t>
        </w:r>
      </w:hyperlink>
      <w:r>
        <w:t xml:space="preserve">–</w:t>
      </w:r>
      <w:hyperlink w:anchor="tab:supp-rtt">
        <w:r>
          <w:rPr>
            <w:rStyle w:val="Hyperlink"/>
          </w:rPr>
          <w:t xml:space="preserve">[tab:supp-rtt]</w:t>
        </w:r>
      </w:hyperlink>
      <w:r>
        <w:t xml:space="preserve"> </w:t>
      </w:r>
      <w:r>
        <w:t xml:space="preserve">(submitted as separate file</w:t>
      </w:r>
      <w:r>
        <w:t xml:space="preserve"> </w:t>
      </w:r>
      <w:r>
        <w:rPr>
          <w:rStyle w:val="VerbatimChar"/>
        </w:rPr>
        <w:t xml:space="preserve">supplementary.pdf</w:t>
      </w:r>
      <w:r>
        <w:t xml:space="preserve">).</w:t>
      </w:r>
    </w:p>
    <w:bookmarkStart w:id="71" w:name="fig:handshake-latency"/>
    <w:p>
      <w:pPr>
        <w:pStyle w:val="CaptionedFigure"/>
      </w:pPr>
      <w:r>
        <w:drawing>
          <wp:inline>
            <wp:extent cx="3009900" cy="18288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figures/fig_handshake_latency.pdf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Handshake latency percentiles for Classic vs liboqs PQC vs CryptoKit PQC (N=1000). Generated from</w:t>
      </w:r>
      <w:r>
        <w:t xml:space="preserve"> </w:t>
      </w:r>
      <w:r>
        <w:rPr>
          <w:rStyle w:val="VerbatimChar"/>
        </w:rPr>
        <w:t xml:space="preserve">Artifacts/handshake_bench_-01-16.csv</w:t>
      </w:r>
      <w:r>
        <w:t xml:space="preserve">; values match the Performance Summary (Table </w:t>
      </w:r>
      <w:hyperlink w:anchor="tab:perf-summary">
        <w:r>
          <w:rPr>
            <w:rStyle w:val="Hyperlink"/>
          </w:rPr>
          <w:t xml:space="preserve">[tab:perf-summary]</w:t>
        </w:r>
      </w:hyperlink>
      <w:r>
        <w:t xml:space="preserve">) and Supplementary Table </w:t>
      </w:r>
      <w:hyperlink w:anchor="tab:supp-latency">
        <w:r>
          <w:rPr>
            <w:rStyle w:val="Hyperlink"/>
          </w:rPr>
          <w:t xml:space="preserve">[tab:supp-latency]</w:t>
        </w:r>
      </w:hyperlink>
      <w:r>
        <w:t xml:space="preserve">.</w:t>
      </w:r>
    </w:p>
    <w:bookmarkEnd w:id="71"/>
    <w:p>
      <w:pPr>
        <w:pStyle w:val="BodyText"/>
      </w:pPr>
      <w:r>
        <w:rPr>
          <w:b/>
          <w:bCs/>
        </w:rPr>
        <w:t xml:space="preserve">Wire-Format Breakdown.</w:t>
      </w:r>
      <w:r>
        <w:t xml:space="preserve"> </w:t>
      </w:r>
      <w:r>
        <w:t xml:space="preserve">The 15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size increase from Classic (827 B) to PQC (12.2 KB) is dominated by ML-DSA signatures (3309 B) and ML-KEM ciphertexts (1088 B). Fig. </w:t>
      </w:r>
      <w:hyperlink w:anchor="fig:message-size-breakdown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shows the per-field breakdown.</w:t>
      </w:r>
    </w:p>
    <w:bookmarkStart w:id="75" w:name="fig:message-size-breakdown"/>
    <w:p>
      <w:pPr>
        <w:pStyle w:val="CaptionedFigure"/>
      </w:pPr>
      <w:r>
        <w:drawing>
          <wp:inline>
            <wp:extent cx="3009900" cy="18288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figures/fig_message_size_breakdown.pdf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Handshake message size breakdown (signature, keyshare,</w:t>
      </w:r>
      <w:r>
        <w:t xml:space="preserve"> </w:t>
      </w:r>
      <w:r>
        <w:t xml:space="preserve">identity fields, framing overhead) for MessageA/MessageB across Classic, PQC (liboqs), and PQC (CryptoKit) configurations. Counts reflect MessageA/B payloads only; the</w:t>
      </w:r>
      <w:r>
        <w:t xml:space="preserve"> </w:t>
      </w:r>
      <w:r>
        <w:rPr>
          <w:i/>
          <w:iCs/>
        </w:rPr>
        <w:t xml:space="preserve">payload-only</w:t>
      </w:r>
      <w:r>
        <w:t xml:space="preserve"> </w:t>
      </w:r>
      <w:r>
        <w:t xml:space="preserve">handshake size adds two 38 B Finished frames (accounted for in Table </w:t>
      </w:r>
      <w:hyperlink w:anchor="tab:perf-summary">
        <w:r>
          <w:rPr>
            <w:rStyle w:val="Hyperlink"/>
          </w:rPr>
          <w:t xml:space="preserve">[tab:perf-summary]</w:t>
        </w:r>
      </w:hyperlink>
      <w:r>
        <w:t xml:space="preserve">), and detailed field sizes are reported in Supplementary Table </w:t>
      </w:r>
      <w:hyperlink w:anchor="tab:supp-message-sizes">
        <w:r>
          <w:rPr>
            <w:rStyle w:val="Hyperlink"/>
          </w:rPr>
          <w:t xml:space="preserve">[tab:supp-message-sizes]</w:t>
        </w:r>
      </w:hyperlink>
      <w:r>
        <w:t xml:space="preserve">. Generated from</w:t>
      </w:r>
      <w:r>
        <w:t xml:space="preserve"> </w:t>
      </w:r>
      <w:r>
        <w:rPr>
          <w:rStyle w:val="VerbatimChar"/>
        </w:rPr>
        <w:t xml:space="preserve">Artifacts/message_sizes_2026-01-16.csv</w:t>
      </w:r>
      <w:r>
        <w:t xml:space="preserve">.</w:t>
      </w:r>
    </w:p>
    <w:bookmarkEnd w:id="75"/>
    <w:p>
      <w:pPr>
        <w:pStyle w:val="BodyText"/>
      </w:pPr>
      <w:r>
        <w:t xml:space="preserve">Note: X-Wing hybrid KEM adds 32 B to MessageA’s keyshare (1120 B vs 1088 B for ML-KEM-768), yielding a measured total handshake size of 12,195 B; detailed field breakdowns are available in Supplementary Table </w:t>
      </w:r>
      <w:hyperlink w:anchor="tab:supp-message-sizes">
        <w:r>
          <w:rPr>
            <w:rStyle w:val="Hyperlink"/>
          </w:rPr>
          <w:t xml:space="preserve">[tab:supp-message-sizes]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MessageA.XWing</w:t>
      </w:r>
      <w:r>
        <w:t xml:space="preserve">/</w:t>
      </w:r>
      <w:r>
        <w:rPr>
          <w:rStyle w:val="VerbatimChar"/>
        </w:rPr>
        <w:t xml:space="preserve">MessageB.XWing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Data-Plane and Provider Selection.</w:t>
      </w:r>
      <w:r>
        <w:t xml:space="preserve"> </w:t>
      </w:r>
      <w:r>
        <w:t xml:space="preserve">Post-handshake symmetric AEAD (AES-256-GCM) throughput reaches 3.7 GB/s for 1 MB payloads on Apple Silicon, with CPU cost of 0.25 ns/byte. In v1 the data-plane AEAD is fixed to AES-256-GCM and recorded separately from the handshake suite; thus throughput is independent of the negotiated KEM/signature suite. Provider selection overhead is sub-microsecond for cached paths (0.17 </w:t>
      </w:r>
      <m:oMath>
        <m:r>
          <m:t>μ</m:t>
        </m:r>
      </m:oMath>
      <w:r>
        <w:t xml:space="preserve">s p50) and under 6 </w:t>
      </w:r>
      <m:oMath>
        <m:r>
          <m:t>μ</m:t>
        </m:r>
      </m:oMath>
      <w:r>
        <w:t xml:space="preserve">s even for fallback scenarios. Detailed breakdowns are provided in the artifact CSV files.</w:t>
      </w:r>
    </w:p>
    <w:p>
      <w:pPr>
        <w:pStyle w:val="BodyText"/>
      </w:pPr>
      <w:r>
        <w:rPr>
          <w:b/>
          <w:bCs/>
        </w:rPr>
        <w:t xml:space="preserve">Traffic Analysis Mitigation (SBP2 Padding).</w:t>
      </w:r>
      <w:r>
        <w:t xml:space="preserve"> </w:t>
      </w:r>
      <w:r>
        <w:t xml:space="preserve">To reduce attempt identifiability on the wire, SkyBridge optionally applies a constant-size framing layer (SBP2) that buckets framed payloads into powers-of-two-sized envelopes. Here,</w:t>
      </w:r>
      <w:r>
        <w:t xml:space="preserve"> </w:t>
      </w:r>
      <w:r>
        <w:rPr>
          <w:b/>
          <w:bCs/>
        </w:rPr>
        <w:t xml:space="preserve">SBP1</w:t>
      </w:r>
      <w:r>
        <w:t xml:space="preserve"> </w:t>
      </w:r>
      <w:r>
        <w:t xml:space="preserve">denotes</w:t>
      </w:r>
      <w:r>
        <w:t xml:space="preserve"> </w:t>
      </w:r>
      <w:r>
        <w:rPr>
          <w:i/>
          <w:iCs/>
        </w:rPr>
        <w:t xml:space="preserve">handshake-frame padding</w:t>
      </w:r>
      <w:r>
        <w:t xml:space="preserve"> </w:t>
      </w:r>
      <w:r>
        <w:t xml:space="preserve">(MessageA/MessageB/Finished are padded to fixed buckets before transport), while</w:t>
      </w:r>
      <w:r>
        <w:t xml:space="preserve"> </w:t>
      </w:r>
      <w:r>
        <w:rPr>
          <w:b/>
          <w:bCs/>
        </w:rPr>
        <w:t xml:space="preserve">SBP2</w:t>
      </w:r>
      <w:r>
        <w:t xml:space="preserve"> </w:t>
      </w:r>
      <w:r>
        <w:t xml:space="preserve">denotes</w:t>
      </w:r>
      <w:r>
        <w:t xml:space="preserve"> </w:t>
      </w:r>
      <w:r>
        <w:rPr>
          <w:i/>
          <w:iCs/>
        </w:rPr>
        <w:t xml:space="preserve">traffic framing and padding</w:t>
      </w:r>
      <w:r>
        <w:t xml:space="preserve"> </w:t>
      </w:r>
      <w:r>
        <w:t xml:space="preserve">applied to all framed payloads (control and encrypted data-plane) with a per-frame header and bucketed padding up to a configured cap.</w:t>
      </w:r>
      <w:r>
        <w:t xml:space="preserve"> </w:t>
      </w:r>
      <w:r>
        <w:t xml:space="preserve">We measure SBP2 behavior on a real protocol trace: an end-to-end handshake (SBP1 + SBP2 enabled) on an in-memory loopback transport, followed by bidirectional AES-GCM–encrypted data-plane frames derived from the negotiated session keys. Supplementary Table </w:t>
      </w:r>
      <w:hyperlink w:anchor="tab:supp-traffic-padding">
        <w:r>
          <w:rPr>
            <w:rStyle w:val="Hyperlink"/>
          </w:rPr>
          <w:t xml:space="preserve">[tab:supp-traffic-padding]</w:t>
        </w:r>
      </w:hyperlink>
      <w:r>
        <w:t xml:space="preserve"> </w:t>
      </w:r>
      <w:r>
        <w:t xml:space="preserve">reports the resulting quantization behavior and overhead; the full per-label bucket histograms are included in</w:t>
      </w:r>
      <w:r>
        <w:t xml:space="preserve"> </w:t>
      </w:r>
      <w:r>
        <w:rPr>
          <w:rStyle w:val="VerbatimChar"/>
        </w:rPr>
        <w:t xml:space="preserve">Artifacts/traffic_padding_-01-16.csv</w:t>
      </w:r>
      <w:r>
        <w:t xml:space="preserve">.</w:t>
      </w:r>
    </w:p>
    <w:bookmarkStart w:id="79" w:name="fig:traffic-padding-overhead"/>
    <w:p>
      <w:pPr>
        <w:pStyle w:val="CaptionedFigure"/>
      </w:pPr>
      <w:r>
        <w:drawing>
          <wp:inline>
            <wp:extent cx="3009900" cy="20066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figures/fig_traffic_padding_overhead.pdf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00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SBP2 padding overhead across representative handshake, control, and data-plane workloads (macOS 26.x). Overhead is computed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cr m:val="monospace"/>
            <m:sty m:val="p"/>
          </m:rPr>
          <m:t>paddedBytes</m:t>
        </m:r>
        <m:r>
          <m:rPr>
            <m:sty m:val="p"/>
          </m:rPr>
          <m:t>/</m:t>
        </m:r>
        <m:r>
          <m:rPr>
            <m:nor/>
            <m:scr m:val="monospace"/>
            <m:sty m:val="p"/>
          </m:rPr>
          <m:t>rawBytes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aggregated per label over a deterministic trace (N=1000 handshake iterations; data-plane workload uses encrypted control messages and large-frame mixes). Generated from</w:t>
      </w:r>
      <w:r>
        <w:t xml:space="preserve"> </w:t>
      </w:r>
      <w:r>
        <w:rPr>
          <w:rStyle w:val="VerbatimChar"/>
        </w:rPr>
        <w:t xml:space="preserve">Artifacts/traffic_padding_-01-16.csv</w:t>
      </w:r>
      <w:r>
        <w:t xml:space="preserve">.</w:t>
      </w:r>
    </w:p>
    <w:bookmarkEnd w:id="79"/>
    <w:p>
      <w:pPr>
        <w:pStyle w:val="BodyText"/>
      </w:pPr>
      <w:r>
        <w:rPr>
          <w:b/>
          <w:bCs/>
        </w:rPr>
        <w:t xml:space="preserve">Sensitivity Study (Bucket Cap).</w:t>
      </w:r>
      <w:r>
        <w:t xml:space="preserve"> </w:t>
      </w:r>
      <w:r>
        <w:t xml:space="preserve">We vary the maximum bucket size for SBP2 (</w:t>
      </w:r>
      <w:r>
        <w:rPr>
          <w:i/>
          <w:iCs/>
        </w:rPr>
        <w:t xml:space="preserve">cap</w:t>
      </w:r>
      <w:r>
        <w:t xml:space="preserve"> </w:t>
      </w:r>
      <w:r>
        <w:t xml:space="preserve">= 64 KiB, 128 KiB, 256 KiB) and re-run the same deterministic protocol trace. We report (i) padding overhead and (ii)</w:t>
      </w:r>
      <w:r>
        <w:t xml:space="preserve"> </w:t>
      </w:r>
      <w:r>
        <w:rPr>
          <w:i/>
          <w:iCs/>
        </w:rPr>
        <w:t xml:space="preserve">over-cap rate</w:t>
      </w:r>
      <w:r>
        <w:t xml:space="preserve"> </w:t>
      </w:r>
      <w:r>
        <w:t xml:space="preserve">(fraction of frames whose framed payload exceeds the cap and thus cannot be further bucketed), and use</w:t>
      </w:r>
      <w:r>
        <w:t xml:space="preserve"> </w:t>
      </w:r>
      <w:r>
        <w:rPr>
          <w:i/>
          <w:iCs/>
        </w:rPr>
        <w:t xml:space="preserve">bucket entropy</w:t>
      </w:r>
      <w:r>
        <w:t xml:space="preserve"> </w:t>
      </w:r>
      <w:r>
        <w:t xml:space="preserve">(Shannon entropy of padded bucket sizes per label) as a privacy proxy for size quantization strength. Supplementary Table </w:t>
      </w:r>
      <w:hyperlink w:anchor="tab:supp-traffic-padding-sensitivity">
        <w:r>
          <w:rPr>
            <w:rStyle w:val="Hyperlink"/>
          </w:rPr>
          <w:t xml:space="preserve">[tab:supp-traffic-padding-sensitivity]</w:t>
        </w:r>
      </w:hyperlink>
      <w:r>
        <w:t xml:space="preserve"> </w:t>
      </w:r>
      <w:r>
        <w:t xml:space="preserve">summarizes the overhead–privacy tradeoff and distinguishes remote-desktop-like vs file-chunk-like large-frame distributions.</w:t>
      </w:r>
    </w:p>
    <w:bookmarkStart w:id="83" w:name="fig:traffic-padding-sensitivity"/>
    <w:p>
      <w:pPr>
        <w:pStyle w:val="CaptionedFigure"/>
      </w:pPr>
      <w:r>
        <w:drawing>
          <wp:inline>
            <wp:extent cx="3009900" cy="16383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figures/fig_traffic_padding_sensitivity.pdf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SBP2 bucket-cap sensitivity (macOS 26.x). Curves show padding overhead for representative large-frame distributions (remote-desktop mix vs file-chunk mix) as the cap increases from 64 KiB to 256 KiB; lower over-cap rate implies broader padding coverage. Generated from</w:t>
      </w:r>
      <w:r>
        <w:t xml:space="preserve"> </w:t>
      </w:r>
      <w:r>
        <w:rPr>
          <w:rStyle w:val="VerbatimChar"/>
        </w:rPr>
        <w:t xml:space="preserve">Artifacts/traffic_padding_sensitivity_-01-16.csv</w:t>
      </w:r>
      <w:r>
        <w:t xml:space="preserve">.</w:t>
      </w:r>
    </w:p>
    <w:bookmarkEnd w:id="83"/>
    <w:bookmarkStart w:id="84" w:name="tab:aead-mapping"/>
    <w:p>
      <w:pPr>
        <w:pStyle w:val="TableCaption"/>
      </w:pPr>
      <w:r>
        <w:t xml:space="preserve">Handshake vs data-plane AEAD selection (v1).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andshake vs data-plane AEAD selection (v1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Negotiation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Handshake payloads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 tuple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Data-plane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(v1)</w:t>
            </w:r>
          </w:p>
        </w:tc>
      </w:tr>
    </w:tbl>
    <w:bookmarkEnd w:id="84"/>
    <w:bookmarkEnd w:id="85"/>
    <w:bookmarkStart w:id="86" w:name="sec:network-conditions"/>
    <w:p>
      <w:pPr>
        <w:pStyle w:val="Heading2"/>
      </w:pPr>
      <w:r>
        <w:t xml:space="preserve">External Validity Under Network Impairments</w:t>
      </w:r>
    </w:p>
    <w:p>
      <w:pPr>
        <w:pStyle w:val="FirstParagraph"/>
      </w:pPr>
      <w:r>
        <w:t xml:space="preserve">We simulate four network conditions with a retry-aware model (max 2</w:t>
      </w:r>
      <w:r>
        <w:t xml:space="preserve"> </w:t>
      </w:r>
      <w:r>
        <w:t xml:space="preserve">retries) to approximate loss, jitter, and reordering. The simulator is</w:t>
      </w:r>
      <w:r>
        <w:t xml:space="preserve"> </w:t>
      </w:r>
      <w:r>
        <w:t xml:space="preserve">in-process (not kernel</w:t>
      </w:r>
      <w:r>
        <w:t xml:space="preserve"> </w:t>
      </w:r>
      <w:r>
        <w:rPr>
          <w:rStyle w:val="VerbatimChar"/>
        </w:rPr>
        <w:t xml:space="preserve">netem</w:t>
      </w:r>
      <w:r>
        <w:t xml:space="preserve">): loss is independent Bernoulli per</w:t>
      </w:r>
      <w:r>
        <w:t xml:space="preserve"> </w:t>
      </w:r>
      <w:r>
        <w:t xml:space="preserve">packet; jitter is sampled uniformly from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J ms around base RTT; and</w:t>
      </w:r>
      <w:r>
        <w:t xml:space="preserve"> </w:t>
      </w:r>
      <w:r>
        <w:t xml:space="preserve">reordering is modeled as an added random delay (50–150 ms) applied to</w:t>
      </w:r>
      <w:r>
        <w:t xml:space="preserve"> </w:t>
      </w:r>
      <w:r>
        <w:t xml:space="preserve">10% of packets. Table </w:t>
      </w:r>
      <w:hyperlink w:anchor="tab:network-conditions">
        <w:r>
          <w:rPr>
            <w:rStyle w:val="Hyperlink"/>
          </w:rPr>
          <w:t xml:space="preserve">[tab:network-conditions]</w:t>
        </w:r>
      </w:hyperlink>
      <w:r>
        <w:t xml:space="preserve"> </w:t>
      </w:r>
      <w:r>
        <w:t xml:space="preserve">summarizes completion and p95 latency ranges across classic/liboqs/</w:t>
      </w:r>
      <w:r>
        <w:t xml:space="preserve"> </w:t>
      </w:r>
      <w:r>
        <w:t xml:space="preserve">CryptoKit suites using</w:t>
      </w:r>
      <w:r>
        <w:t xml:space="preserve"> </w:t>
      </w:r>
      <w:r>
        <w:rPr>
          <w:rStyle w:val="VerbatimChar"/>
        </w:rPr>
        <w:t xml:space="preserve">Artifacts/network_condition_-01-11.csv</w:t>
      </w:r>
      <w:r>
        <w:t xml:space="preserve"> </w:t>
      </w:r>
      <w:r>
        <w:t xml:space="preserve">generated by</w:t>
      </w:r>
      <w:r>
        <w:t xml:space="preserve"> </w:t>
      </w:r>
      <w:r>
        <w:rPr>
          <w:rStyle w:val="VerbatimChar"/>
        </w:rPr>
        <w:t xml:space="preserve">Scripts/run_network_bench_retry.swift</w:t>
      </w:r>
      <w:r>
        <w:t xml:space="preserve">. Even under severe loss, completion</w:t>
      </w:r>
      <w:r>
        <w:t xml:space="preserve"> </w:t>
      </w:r>
      <w:r>
        <w:t xml:space="preserve">remains above 99.8%, and</w:t>
      </w:r>
      <w:r>
        <w:t xml:space="preserve"> </w:t>
      </w:r>
      <w:r>
        <w:rPr>
          <w:rStyle w:val="VerbatimChar"/>
        </w:rPr>
        <w:t xml:space="preserve">handshakeFailed</w:t>
      </w:r>
      <w:r>
        <w:t xml:space="preserve"> </w:t>
      </w:r>
      <w:r>
        <w:t xml:space="preserve">events track the few</w:t>
      </w:r>
      <w:r>
        <w:t xml:space="preserve"> </w:t>
      </w:r>
      <w:r>
        <w:t xml:space="preserve">failures; no downgrade events occur because fallback is only permitted</w:t>
      </w:r>
      <w:r>
        <w:t xml:space="preserve"> </w:t>
      </w:r>
      <w:r>
        <w:t xml:space="preserve">for PQC-unavailability (Fig. </w:t>
      </w:r>
      <w:hyperlink w:anchor="fig:policy-downgrade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 (loss, RTT, jitter/reorder)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Completion rate (min)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p95 latency (ms, range)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handshakeFailed events / 10k (max)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mild (1%, 50 ms,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20 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251–253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 (3%, 100 ms,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50 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529–532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 (5%, 200 ms,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100 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1031–1033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reorder (10% reorder, 50 ms,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20 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368–370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bookmarkEnd w:id="86"/>
    <w:bookmarkEnd w:id="87"/>
    <w:bookmarkStart w:id="90" w:name="sec:limitations"/>
    <w:p>
      <w:pPr>
        <w:pStyle w:val="Heading1"/>
      </w:pPr>
      <w:r>
        <w:t xml:space="preserve">Limitations and Future Work</w:t>
      </w:r>
    </w:p>
    <w:bookmarkStart w:id="88" w:name="a.-current-limitations"/>
    <w:p>
      <w:pPr>
        <w:pStyle w:val="Heading2"/>
      </w:pPr>
      <w:r>
        <w:t xml:space="preserve">Current Limitations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iOS PQC Availability (iOS &lt; 26):</w:t>
      </w:r>
      <w:r>
        <w:t xml:space="preserve"> </w:t>
      </w:r>
      <w:r>
        <w:t xml:space="preserve">We do not currently bundle</w:t>
      </w:r>
      <w:r>
        <w:t xml:space="preserve"> </w:t>
      </w:r>
      <w:r>
        <w:t xml:space="preserve">liboqs for iOS; therefore PQC suites are only available on iOS 26+</w:t>
      </w:r>
      <w:r>
        <w:t xml:space="preserve"> </w:t>
      </w:r>
      <w:r>
        <w:t xml:space="preserve">devices via CryptoKit PQC. To support reproducible mobile evaluation,</w:t>
      </w:r>
      <w:r>
        <w:t xml:space="preserve"> </w:t>
      </w:r>
      <w:r>
        <w:t xml:space="preserve">we ship an</w:t>
      </w:r>
      <w:r>
        <w:t xml:space="preserve"> </w:t>
      </w:r>
      <w:r>
        <w:rPr>
          <w:i/>
          <w:iCs/>
        </w:rPr>
        <w:t xml:space="preserve">on-device</w:t>
      </w:r>
      <w:r>
        <w:t xml:space="preserve"> </w:t>
      </w:r>
      <w:r>
        <w:t xml:space="preserve">self-test and micro-benchmark harness in the</w:t>
      </w:r>
      <w:r>
        <w:t xml:space="preserve"> </w:t>
      </w:r>
      <w:r>
        <w:t xml:space="preserve">iOS app (Settings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PQC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“Self-test/Bench”</w:t>
      </w:r>
      <w:r>
        <w:t xml:space="preserve">),</w:t>
      </w:r>
      <w:r>
        <w:t xml:space="preserve"> </w:t>
      </w:r>
      <w:r>
        <w:t xml:space="preserve">which exports JSON artifacts for inclusion in Supplementary tables.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X-Wing Hybrid KEM:</w:t>
      </w:r>
      <w:r>
        <w:t xml:space="preserve"> </w:t>
      </w:r>
      <w:r>
        <w:t xml:space="preserve">We have reserved wire-format identifiers</w:t>
      </w:r>
      <w:r>
        <w:t xml:space="preserve"> </w:t>
      </w:r>
      <w:r>
        <w:t xml:space="preserve">for X-Wing hybrid KEM (wireId 0x0001, combining X25519 + ML-KEM-768).</w:t>
      </w:r>
      <w:r>
        <w:t xml:space="preserve"> </w:t>
      </w:r>
      <w:r>
        <w:t xml:space="preserve">CryptoKit on Apple 26+ exposes HPKE cipher suites including X-Wing</w:t>
      </w:r>
      <w:r>
        <w:t xml:space="preserve"> </w:t>
      </w:r>
      <w:r>
        <w:t xml:space="preserve">(ML-KEM-768 with X25519), motivating a standards-informed hybrid path.</w:t>
      </w:r>
      <w:r>
        <w:t xml:space="preserve"> </w:t>
      </w:r>
      <w:r>
        <w:t xml:space="preserve">Our current implementation uses a domain-separated hybrid KEM</w:t>
      </w:r>
      <w:r>
        <w:t xml:space="preserve"> </w:t>
      </w:r>
      <w:r>
        <w:t xml:space="preserve">composition (X25519 + ML-KEM-768) under wireId 0x0001 and reports</w:t>
      </w:r>
      <w:r>
        <w:t xml:space="preserve"> </w:t>
      </w:r>
      <w:r>
        <w:t xml:space="preserve">on-device measurements in Table </w:t>
      </w:r>
      <w:hyperlink w:anchor="tab:ios-microbench">
        <w:r>
          <w:rPr>
            <w:rStyle w:val="Hyperlink"/>
          </w:rPr>
          <w:t xml:space="preserve">[tab:ios-microbench]</w:t>
        </w:r>
      </w:hyperlink>
      <w:r>
        <w:t xml:space="preserve">; full</w:t>
      </w:r>
      <w:r>
        <w:t xml:space="preserve"> </w:t>
      </w:r>
      <w:r>
        <w:t xml:space="preserve">integration with CryptoKit’s PQ-HPKE ciphersuite API remains future</w:t>
      </w:r>
      <w:r>
        <w:t xml:space="preserve"> </w:t>
      </w:r>
      <w:r>
        <w:t xml:space="preserve">work.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Key Rotation:</w:t>
      </w:r>
      <w:r>
        <w:t xml:space="preserve"> </w:t>
      </w:r>
      <w:r>
        <w:t xml:space="preserve">Session key rotation during long-lived</w:t>
      </w:r>
      <w:r>
        <w:t xml:space="preserve"> </w:t>
      </w:r>
      <w:r>
        <w:t xml:space="preserve">connections is not addressed in the current design.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Forward Secrecy for PQC suites:</w:t>
      </w:r>
      <w:r>
        <w:t xml:space="preserve"> </w:t>
      </w:r>
      <w:r>
        <w:t xml:space="preserve">v1 does not claim PFS for</w:t>
      </w:r>
      <w:r>
        <w:t xml:space="preserve"> </w:t>
      </w:r>
      <w:r>
        <w:t xml:space="preserve">KEM-based PQC suites: ML-KEM encapsulation targets a peer’s long-term</w:t>
      </w:r>
      <w:r>
        <w:t xml:space="preserve"> </w:t>
      </w:r>
      <w:r>
        <w:t xml:space="preserve">KEM public key obtained during pairing. Accordingly, post-quantum</w:t>
      </w:r>
      <w:r>
        <w:t xml:space="preserve"> </w:t>
      </w:r>
      <w:r>
        <w:t xml:space="preserve">confidentiality against store-now-decrypt-later adversaries holds only</w:t>
      </w:r>
      <w:r>
        <w:t xml:space="preserve"> </w:t>
      </w:r>
      <w:r>
        <w:t xml:space="preserve">while long-term KEM private keys remain uncompromised.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Cross-Platform Interoperability:</w:t>
      </w:r>
      <w:r>
        <w:t xml:space="preserve"> </w:t>
      </w:r>
      <w:r>
        <w:t xml:space="preserve">The wire format is</w:t>
      </w:r>
      <w:r>
        <w:t xml:space="preserve"> </w:t>
      </w:r>
      <w:r>
        <w:t xml:space="preserve">documented but interoperability with non-Apple platforms requires</w:t>
      </w:r>
      <w:r>
        <w:t xml:space="preserve"> </w:t>
      </w:r>
      <w:r>
        <w:t xml:space="preserve">additional validation.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Network Condition Evaluation:</w:t>
      </w:r>
      <w:r>
        <w:t xml:space="preserve"> </w:t>
      </w:r>
      <w:r>
        <w:t xml:space="preserve">We provide simulated impairment</w:t>
      </w:r>
      <w:r>
        <w:t xml:space="preserve"> </w:t>
      </w:r>
      <w:r>
        <w:t xml:space="preserve">results in Section </w:t>
      </w:r>
      <w:hyperlink w:anchor="sec:network-conditions">
        <w:r>
          <w:rPr>
            <w:rStyle w:val="Hyperlink"/>
          </w:rPr>
          <w:t xml:space="preserve">6.4</w:t>
        </w:r>
      </w:hyperlink>
      <w:r>
        <w:t xml:space="preserve">, but have not yet</w:t>
      </w:r>
      <w:r>
        <w:t xml:space="preserve"> </w:t>
      </w:r>
      <w:r>
        <w:t xml:space="preserve">measured full end-to-end behavior under real NAT traversal, mobility,</w:t>
      </w:r>
      <w:r>
        <w:t xml:space="preserve"> </w:t>
      </w:r>
      <w:r>
        <w:t xml:space="preserve">and heterogeneous access networks.</w:t>
      </w:r>
    </w:p>
    <w:bookmarkEnd w:id="88"/>
    <w:bookmarkStart w:id="89" w:name="b.-future-directions"/>
    <w:p>
      <w:pPr>
        <w:pStyle w:val="Heading2"/>
      </w:pPr>
      <w:r>
        <w:t xml:space="preserve">Future Directions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Android PQC Integration:</w:t>
      </w:r>
      <w:r>
        <w:t xml:space="preserve"> </w:t>
      </w:r>
      <w:r>
        <w:t xml:space="preserve">Extend the CryptoProvider</w:t>
      </w:r>
      <w:r>
        <w:t xml:space="preserve"> </w:t>
      </w:r>
      <w:r>
        <w:t xml:space="preserve">architecture to support Android’s BouncyCastle PQC implementations.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PFS Upgrade Path for PQC:</w:t>
      </w:r>
      <w:r>
        <w:t xml:space="preserve"> </w:t>
      </w:r>
      <w:r>
        <w:t xml:space="preserve">Move from static-recipient KEM to an</w:t>
      </w:r>
      <w:r>
        <w:t xml:space="preserve"> </w:t>
      </w:r>
      <w:r>
        <w:t xml:space="preserve">ephemeral-ephemeral contribution (e.g., HPKE with an ephemeral sender</w:t>
      </w:r>
      <w:r>
        <w:t xml:space="preserve"> </w:t>
      </w:r>
      <w:r>
        <w:t xml:space="preserve">key) or a hybrid design that provides at least classic PFS (e.g.,</w:t>
      </w:r>
      <w:r>
        <w:t xml:space="preserve"> </w:t>
      </w:r>
      <w:r>
        <w:t xml:space="preserve">X25519+ML-KEM) while preserving the existing provider/policy split and</w:t>
      </w:r>
      <w:r>
        <w:t xml:space="preserve"> </w:t>
      </w:r>
      <w:r>
        <w:t xml:space="preserve">audit-event semantics.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Tamper-Evident Telemetry:</w:t>
      </w:r>
      <w:r>
        <w:t xml:space="preserve"> </w:t>
      </w:r>
      <w:r>
        <w:t xml:space="preserve">Upgrade best-effort audit logs with</w:t>
      </w:r>
      <w:r>
        <w:t xml:space="preserve"> </w:t>
      </w:r>
      <w:r>
        <w:t xml:space="preserve">cryptographic tamper evidence, e.g., per-session event hash-chains</w:t>
      </w:r>
      <w:r>
        <w:t xml:space="preserve"> </w:t>
      </w:r>
      <w:r>
        <w:t xml:space="preserve">anchored into the handshake transcript or a post-handshake, cross-signed</w:t>
      </w:r>
      <w:r>
        <w:t xml:space="preserve"> </w:t>
      </w:r>
      <w:r>
        <w:t xml:space="preserve">event digest exchanged between peers.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Traffic Analysis Mitigations:</w:t>
      </w:r>
      <w:r>
        <w:t xml:space="preserve"> </w:t>
      </w:r>
      <w:r>
        <w:t xml:space="preserve">Reduce two-attempt</w:t>
      </w:r>
      <w:r>
        <w:t xml:space="preserve"> </w:t>
      </w:r>
      <w:r>
        <w:t xml:space="preserve">identifiability via optional padding or constant-size framing, while</w:t>
      </w:r>
      <w:r>
        <w:t xml:space="preserve"> </w:t>
      </w:r>
      <w:r>
        <w:t xml:space="preserve">preserving strictPQC semantics for deployments that require</w:t>
      </w:r>
      <w:r>
        <w:t xml:space="preserve"> </w:t>
      </w:r>
      <w:r>
        <w:t xml:space="preserve">zero-downgrade behavior.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Real-Network End-to-End Evaluation:</w:t>
      </w:r>
      <w:r>
        <w:t xml:space="preserve"> </w:t>
      </w:r>
      <w:r>
        <w:t xml:space="preserve">Measure handshake</w:t>
      </w:r>
      <w:r>
        <w:t xml:space="preserve"> </w:t>
      </w:r>
      <w:r>
        <w:t xml:space="preserve">distributions across diverse access networks (same Wi-Fi, different NAT</w:t>
      </w:r>
      <w:r>
        <w:t xml:space="preserve"> </w:t>
      </w:r>
      <w:r>
        <w:t xml:space="preserve">paths, LTE hotspots) and compare TCP vs QUIC control channels for</w:t>
      </w:r>
      <w:r>
        <w:t xml:space="preserve"> </w:t>
      </w:r>
      <w:r>
        <w:t xml:space="preserve">12 KB-class handshakes, validating that observed loss/jitter/reorder</w:t>
      </w:r>
      <w:r>
        <w:t xml:space="preserve"> </w:t>
      </w:r>
      <w:r>
        <w:t xml:space="preserve">traces align with our fault taxonomy.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Formal Verification:</w:t>
      </w:r>
      <w:r>
        <w:t xml:space="preserve"> </w:t>
      </w:r>
      <w:r>
        <w:t xml:space="preserve">Apply model checking to the handshake</w:t>
      </w:r>
      <w:r>
        <w:t xml:space="preserve"> </w:t>
      </w:r>
      <w:r>
        <w:t xml:space="preserve">state machine to prove absence of deadlocks and race conditions.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Performance Optimization:</w:t>
      </w:r>
      <w:r>
        <w:t xml:space="preserve"> </w:t>
      </w:r>
      <w:r>
        <w:t xml:space="preserve">Profile ML-KEM-768 encapsulation</w:t>
      </w:r>
      <w:r>
        <w:t xml:space="preserve"> </w:t>
      </w:r>
      <w:r>
        <w:t xml:space="preserve">latency and explore hardware acceleration opportunities.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Certificate-Based Identity:</w:t>
      </w:r>
      <w:r>
        <w:t xml:space="preserve"> </w:t>
      </w:r>
      <w:r>
        <w:t xml:space="preserve">Integrate with device</w:t>
      </w:r>
      <w:r>
        <w:t xml:space="preserve"> </w:t>
      </w:r>
      <w:r>
        <w:t xml:space="preserve">certificates for enterprise deployment scenarios.</w:t>
      </w:r>
    </w:p>
    <w:bookmarkEnd w:id="89"/>
    <w:bookmarkEnd w:id="90"/>
    <w:bookmarkStart w:id="91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SkyBridge Compass shows that cryptographic agility and post-quantum</w:t>
      </w:r>
      <w:r>
        <w:t xml:space="preserve"> </w:t>
      </w:r>
      <w:r>
        <w:t xml:space="preserve">readiness are attainable in P2P systems without sacrificing API</w:t>
      </w:r>
      <w:r>
        <w:t xml:space="preserve"> </w:t>
      </w:r>
      <w:r>
        <w:t xml:space="preserve">stability or operational transparency. The implementation is</w:t>
      </w:r>
      <w:r>
        <w:t xml:space="preserve"> </w:t>
      </w:r>
      <w:r>
        <w:t xml:space="preserve">production-focused. The layered CryptoProvider architecture enables</w:t>
      </w:r>
      <w:r>
        <w:t xml:space="preserve"> </w:t>
      </w:r>
      <w:r>
        <w:t xml:space="preserve">adoption of new</w:t>
      </w:r>
      <w:r>
        <w:t xml:space="preserve"> </w:t>
      </w:r>
      <w:r>
        <w:t xml:space="preserve">primitives as platforms evolve. The actor-isolated handshake state</w:t>
      </w:r>
      <w:r>
        <w:t xml:space="preserve"> </w:t>
      </w:r>
      <w:r>
        <w:t xml:space="preserve">machine reduces concurrency hazards and limits sensitive-material</w:t>
      </w:r>
      <w:r>
        <w:t xml:space="preserve"> </w:t>
      </w:r>
      <w:r>
        <w:t xml:space="preserve">exposure.</w:t>
      </w:r>
    </w:p>
    <w:p>
      <w:pPr>
        <w:pStyle w:val="BodyText"/>
      </w:pPr>
      <w:r>
        <w:t xml:space="preserve">Our Apple-platform deployment indicates that native PQC APIs can be</w:t>
      </w:r>
      <w:r>
        <w:t xml:space="preserve"> </w:t>
      </w:r>
      <w:r>
        <w:t xml:space="preserve">integrated with modest overhead when available, with graceful fallback</w:t>
      </w:r>
      <w:r>
        <w:t xml:space="preserve"> </w:t>
      </w:r>
      <w:r>
        <w:t xml:space="preserve">to library-based or classic implementations on older systems. The</w:t>
      </w:r>
      <w:r>
        <w:t xml:space="preserve"> </w:t>
      </w:r>
      <w:r>
        <w:t xml:space="preserve">structured security event model is designed to make cryptographic</w:t>
      </w:r>
      <w:r>
        <w:t xml:space="preserve"> </w:t>
      </w:r>
      <w:r>
        <w:t xml:space="preserve">decisions auditable, supporting both real-time monitoring and</w:t>
      </w:r>
      <w:r>
        <w:t xml:space="preserve"> </w:t>
      </w:r>
      <w:r>
        <w:t xml:space="preserve">post-incident analysis.</w:t>
      </w:r>
    </w:p>
    <w:p>
      <w:pPr>
        <w:pStyle w:val="BodyText"/>
      </w:pPr>
      <w:r>
        <w:t xml:space="preserve">SkyBridge Compass prioritizes deterministic semantics and auditability in</w:t>
      </w:r>
      <w:r>
        <w:t xml:space="preserve"> </w:t>
      </w:r>
      <w:r>
        <w:t xml:space="preserve">cryptographic migration. The default policy favors availability and</w:t>
      </w:r>
      <w:r>
        <w:t xml:space="preserve"> </w:t>
      </w:r>
      <w:r>
        <w:t xml:space="preserve">explicit, observable downgrade signals, at the cost of attempt</w:t>
      </w:r>
      <w:r>
        <w:t xml:space="preserve"> </w:t>
      </w:r>
      <w:r>
        <w:t xml:space="preserve">identifiability on the wire; strictPQC disables fallback for deployments</w:t>
      </w:r>
      <w:r>
        <w:t xml:space="preserve"> </w:t>
      </w:r>
      <w:r>
        <w:t xml:space="preserve">that require zero-downgrade behavior and stronger capability privacy.</w:t>
      </w:r>
    </w:p>
    <w:p>
      <w:pPr>
        <w:pStyle w:val="BodyText"/>
      </w:pPr>
      <w:r>
        <w:t xml:space="preserve">As post-quantum cryptography transitions from standardization to</w:t>
      </w:r>
      <w:r>
        <w:t xml:space="preserve"> </w:t>
      </w:r>
      <w:r>
        <w:t xml:space="preserve">deployment, systems like SkyBridge Compass provide a practical template</w:t>
      </w:r>
      <w:r>
        <w:t xml:space="preserve"> </w:t>
      </w:r>
      <w:r>
        <w:t xml:space="preserve">for managing this transition while maintaining security and usability</w:t>
      </w:r>
      <w:r>
        <w:t xml:space="preserve"> </w:t>
      </w:r>
      <w:r>
        <w:t xml:space="preserve">across heterogeneous device fleets.</w:t>
      </w:r>
    </w:p>
    <w:p>
      <w:pPr>
        <w:pStyle w:val="BodyText"/>
      </w:pPr>
      <w:r>
        <w:t xml:space="preserve">The limitations noted in Section </w:t>
      </w:r>
      <w:hyperlink w:anchor="sec:limitation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do not change the</w:t>
      </w:r>
      <w:r>
        <w:t xml:space="preserve"> </w:t>
      </w:r>
      <w:r>
        <w:t xml:space="preserve">core contribution: an auditable migration contract with concurrency-safe</w:t>
      </w:r>
      <w:r>
        <w:t xml:space="preserve"> </w:t>
      </w:r>
      <w:r>
        <w:t xml:space="preserve">handshake semantics that are reproducible from released artifacts.</w:t>
      </w:r>
    </w:p>
    <w:bookmarkEnd w:id="91"/>
    <w:bookmarkStart w:id="92" w:name="acknowledgment"/>
    <w:p>
      <w:pPr>
        <w:pStyle w:val="Heading1"/>
      </w:pPr>
      <w:r>
        <w:t xml:space="preserve">Acknowledgment</w:t>
      </w:r>
    </w:p>
    <w:p>
      <w:pPr>
        <w:pStyle w:val="FirstParagraph"/>
      </w:pPr>
      <w:r>
        <w:t xml:space="preserve">This work received no external funding.</w:t>
      </w:r>
    </w:p>
    <w:bookmarkEnd w:id="92"/>
    <w:bookmarkStart w:id="96" w:name="data-and-artifact-availability"/>
    <w:p>
      <w:pPr>
        <w:pStyle w:val="Heading1"/>
      </w:pPr>
      <w:r>
        <w:t xml:space="preserve">Data and Artifact Availability</w:t>
      </w:r>
    </w:p>
    <w:p>
      <w:pPr>
        <w:pStyle w:val="FirstParagraph"/>
      </w:pPr>
      <w:r>
        <w:t xml:space="preserve">Artifact release:</w:t>
      </w:r>
    </w:p>
    <w:p>
      <w:pPr>
        <w:numPr>
          <w:ilvl w:val="0"/>
          <w:numId w:val="1022"/>
        </w:numPr>
      </w:pPr>
      <w:r>
        <w:t xml:space="preserve">URL:</w:t>
      </w:r>
      <w:r>
        <w:t xml:space="preserve"> </w:t>
      </w:r>
      <w:hyperlink r:id="rId93">
        <w:r>
          <w:rPr>
            <w:rStyle w:val="Hyperlink"/>
          </w:rPr>
          <w:t xml:space="preserve">https://github.com/billlza/Skybridge-Compass</w:t>
        </w:r>
      </w:hyperlink>
    </w:p>
    <w:p>
      <w:pPr>
        <w:numPr>
          <w:ilvl w:val="0"/>
          <w:numId w:val="1022"/>
        </w:numPr>
      </w:pPr>
      <w:r>
        <w:t xml:space="preserve">Tag:</w:t>
      </w:r>
      <w:r>
        <w:t xml:space="preserve"> </w:t>
      </w:r>
      <w:r>
        <w:rPr>
          <w:rStyle w:val="VerbatimChar"/>
        </w:rPr>
        <w:t xml:space="preserve">artifact-v1</w:t>
      </w:r>
    </w:p>
    <w:p>
      <w:pPr>
        <w:numPr>
          <w:ilvl w:val="0"/>
          <w:numId w:val="1022"/>
        </w:numPr>
      </w:pPr>
      <w:r>
        <w:t xml:space="preserve">Commit:</w:t>
      </w:r>
      <w:r>
        <w:t xml:space="preserve"> </w:t>
      </w:r>
      <w:r>
        <w:rPr>
          <w:rStyle w:val="VerbatimChar"/>
        </w:rPr>
        <w:t xml:space="preserve">8a68fa6e0fe7</w:t>
      </w:r>
    </w:p>
    <w:p>
      <w:pPr>
        <w:numPr>
          <w:ilvl w:val="0"/>
          <w:numId w:val="1022"/>
        </w:numPr>
      </w:pPr>
      <w:r>
        <w:t xml:space="preserve">Source archive:</w:t>
      </w:r>
      <w:r>
        <w:t xml:space="preserve"> </w:t>
      </w:r>
      <w:hyperlink r:id="rId94">
        <w:r>
          <w:rPr>
            <w:rStyle w:val="VerbatimChar"/>
          </w:rPr>
          <w:t xml:space="preserve">artifact-v1.zip</w:t>
        </w:r>
      </w:hyperlink>
    </w:p>
    <w:p>
      <w:pPr>
        <w:numPr>
          <w:ilvl w:val="0"/>
          <w:numId w:val="1000"/>
        </w:numPr>
      </w:pPr>
      <w:r>
        <w:t xml:space="preserve">SHA256=</w:t>
      </w:r>
      <w:r>
        <w:rPr>
          <w:rStyle w:val="VerbatimChar"/>
        </w:rPr>
        <w:t xml:space="preserve">354443f7cda3e25a51480a683da1712a8ea9588a2bc510f4f716bd553d6d72ac</w:t>
      </w:r>
    </w:p>
    <w:p>
      <w:pPr>
        <w:numPr>
          <w:ilvl w:val="0"/>
          <w:numId w:val="1022"/>
        </w:numPr>
      </w:pPr>
      <w:r>
        <w:t xml:space="preserve">Source archive:</w:t>
      </w:r>
      <w:r>
        <w:t xml:space="preserve"> </w:t>
      </w:r>
      <w:hyperlink r:id="rId95">
        <w:r>
          <w:rPr>
            <w:rStyle w:val="VerbatimChar"/>
          </w:rPr>
          <w:t xml:space="preserve">artifact-v1.tar.gz</w:t>
        </w:r>
      </w:hyperlink>
    </w:p>
    <w:p>
      <w:pPr>
        <w:numPr>
          <w:ilvl w:val="0"/>
          <w:numId w:val="1000"/>
        </w:numPr>
      </w:pPr>
      <w:r>
        <w:t xml:space="preserve">SHA256=</w:t>
      </w:r>
      <w:r>
        <w:rPr>
          <w:rStyle w:val="VerbatimChar"/>
        </w:rPr>
        <w:t xml:space="preserve">90228458587f095e9cd403d3d449f885a2b8b002057a76e6f60c291e45071388</w:t>
      </w:r>
    </w:p>
    <w:p>
      <w:pPr>
        <w:pStyle w:val="FirstParagraph"/>
      </w:pPr>
      <w:r>
        <w:t xml:space="preserve">See the repository README for environment details and CSV schemas.</w:t>
      </w:r>
    </w:p>
    <w:bookmarkEnd w:id="96"/>
    <w:bookmarkStart w:id="109" w:name="conflict-of-interest"/>
    <w:p>
      <w:pPr>
        <w:pStyle w:val="Heading1"/>
      </w:pPr>
      <w:r>
        <w:t xml:space="preserve">Conflict of Interest</w:t>
      </w:r>
    </w:p>
    <w:p>
      <w:pPr>
        <w:pStyle w:val="FirstParagraph"/>
      </w:pPr>
      <w:r>
        <w:t xml:space="preserve">The author declares no competing interests.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Bluetooth SIG,</w:t>
      </w:r>
      <w:r>
        <w:t xml:space="preserve"> </w:t>
      </w:r>
      <w:r>
        <w:t xml:space="preserve">“Bluetooth Core Specification v5.4,”</w:t>
      </w:r>
      <w:r>
        <w:t xml:space="preserve"> </w:t>
      </w:r>
      <w:r>
        <w:t xml:space="preserve">2023.</w:t>
      </w:r>
    </w:p>
    <w:p>
      <w:pPr>
        <w:pStyle w:val="BodyText"/>
      </w:pPr>
      <w:r>
        <w:t xml:space="preserve">Apple Inc.,</w:t>
      </w:r>
      <w:r>
        <w:t xml:space="preserve"> </w:t>
      </w:r>
      <w:r>
        <w:t xml:space="preserve">“Continuity,”</w:t>
      </w:r>
      <w:r>
        <w:t xml:space="preserve"> </w:t>
      </w:r>
      <w:r>
        <w:t xml:space="preserve">Apple Platform Security Guide, 2024.</w:t>
      </w:r>
    </w:p>
    <w:p>
      <w:pPr>
        <w:pStyle w:val="BodyText"/>
      </w:pPr>
      <w:r>
        <w:t xml:space="preserve">T. Taubert and C. A. Wood,</w:t>
      </w:r>
      <w:r>
        <w:t xml:space="preserve"> </w:t>
      </w:r>
      <w:r>
        <w:t xml:space="preserve">“SPAKE2+, an Augmented PAKE,”</w:t>
      </w:r>
      <w:r>
        <w:t xml:space="preserve"> </w:t>
      </w:r>
      <w:r>
        <w:t xml:space="preserve">RFC 9383, IETF, Sept. 2023.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</w:t>
      </w:r>
      <w:r>
        <w:t xml:space="preserve"> </w:t>
      </w:r>
      <w:hyperlink r:id="rId97">
        <w:r>
          <w:rPr>
            <w:rStyle w:val="Hyperlink"/>
          </w:rPr>
          <w:t xml:space="preserve">https://datatracker.ietf.org/doc/rfc9383/</w:t>
        </w:r>
      </w:hyperlink>
    </w:p>
    <w:p>
      <w:pPr>
        <w:pStyle w:val="BodyText"/>
      </w:pPr>
      <w:r>
        <w:t xml:space="preserve">E. Rescorla,</w:t>
      </w:r>
      <w:r>
        <w:t xml:space="preserve"> </w:t>
      </w:r>
      <w:r>
        <w:t xml:space="preserve">“The Transport Layer Security (TLS) Protocol Version 1.3,”</w:t>
      </w:r>
      <w:r>
        <w:t xml:space="preserve"> </w:t>
      </w:r>
      <w:r>
        <w:t xml:space="preserve">RFC 8446, IETF, 2018.</w:t>
      </w:r>
    </w:p>
    <w:p>
      <w:pPr>
        <w:pStyle w:val="BodyText"/>
      </w:pPr>
      <w:r>
        <w:t xml:space="preserve">J. Iyengar and M. Thomson,</w:t>
      </w:r>
      <w:r>
        <w:t xml:space="preserve"> </w:t>
      </w:r>
      <w:r>
        <w:t xml:space="preserve">“QUIC: A UDP-Based Multiplexed and Secure Transport,”</w:t>
      </w:r>
      <w:r>
        <w:t xml:space="preserve"> </w:t>
      </w:r>
      <w:r>
        <w:t xml:space="preserve">RFC 9000, IETF, 2021.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</w:t>
      </w:r>
      <w:r>
        <w:t xml:space="preserve"> </w:t>
      </w:r>
      <w:hyperlink r:id="rId98">
        <w:r>
          <w:rPr>
            <w:rStyle w:val="Hyperlink"/>
          </w:rPr>
          <w:t xml:space="preserve">https://datatracker.ietf.org/doc/rfc9000/</w:t>
        </w:r>
      </w:hyperlink>
    </w:p>
    <w:p>
      <w:pPr>
        <w:pStyle w:val="BodyText"/>
      </w:pPr>
      <w:r>
        <w:t xml:space="preserve">E. Barker and A. Roginsky,</w:t>
      </w:r>
      <w:r>
        <w:t xml:space="preserve"> </w:t>
      </w:r>
      <w:r>
        <w:t xml:space="preserve">“Transitioning the Use of Cryptographic Algorithms and Key Lengths,”</w:t>
      </w:r>
      <w:r>
        <w:t xml:space="preserve"> </w:t>
      </w:r>
      <w:r>
        <w:t xml:space="preserve">NIST SP 800-131A Rev. 2, 2019.</w:t>
      </w:r>
    </w:p>
    <w:p>
      <w:pPr>
        <w:pStyle w:val="BodyText"/>
      </w:pPr>
      <w:r>
        <w:t xml:space="preserve">E. Barker et al.,</w:t>
      </w:r>
      <w:r>
        <w:t xml:space="preserve"> </w:t>
      </w:r>
      <w:r>
        <w:t xml:space="preserve">“Considerations for Achieving Cryptographic Agility: Strategies and Practices,”</w:t>
      </w:r>
      <w:r>
        <w:t xml:space="preserve"> </w:t>
      </w:r>
      <w:r>
        <w:t xml:space="preserve">NIST Cybersecurity White Paper (CSWP) 39, Dec. 2025, doi: 10.6028/NIST.CSWP.39.</w:t>
      </w:r>
    </w:p>
    <w:p>
      <w:pPr>
        <w:pStyle w:val="BodyText"/>
      </w:pPr>
      <w:r>
        <w:t xml:space="preserve">T. Perrin,</w:t>
      </w:r>
      <w:r>
        <w:t xml:space="preserve"> </w:t>
      </w:r>
      <w:r>
        <w:t xml:space="preserve">“The Noise Protocol Framework,”</w:t>
      </w:r>
      <w:r>
        <w:t xml:space="preserve"> </w:t>
      </w:r>
      <w:r>
        <w:t xml:space="preserve">2018.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</w:t>
      </w:r>
      <w:r>
        <w:t xml:space="preserve"> </w:t>
      </w:r>
      <w:hyperlink r:id="rId99">
        <w:r>
          <w:rPr>
            <w:rStyle w:val="Hyperlink"/>
          </w:rPr>
          <w:t xml:space="preserve">https://noiseprotocol.org/noise.pdf</w:t>
        </w:r>
      </w:hyperlink>
    </w:p>
    <w:p>
      <w:pPr>
        <w:pStyle w:val="BodyText"/>
      </w:pPr>
      <w:r>
        <w:t xml:space="preserve">NIST,</w:t>
      </w:r>
      <w:r>
        <w:t xml:space="preserve"> </w:t>
      </w:r>
      <w:r>
        <w:t xml:space="preserve">“Post-Quantum Cryptography Standardization,”</w:t>
      </w:r>
      <w:r>
        <w:t xml:space="preserve"> </w:t>
      </w:r>
      <w:r>
        <w:t xml:space="preserve">2024.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</w:t>
      </w:r>
      <w:r>
        <w:t xml:space="preserve"> </w:t>
      </w:r>
      <w:hyperlink r:id="rId100">
        <w:r>
          <w:rPr>
            <w:rStyle w:val="Hyperlink"/>
          </w:rPr>
          <w:t xml:space="preserve">https://csrc.nist.gov/projects/post-quantum-cryptography</w:t>
        </w:r>
      </w:hyperlink>
      <w:r>
        <w:t xml:space="preserve">. Accessed: Dec. 2025.</w:t>
      </w:r>
    </w:p>
    <w:p>
      <w:pPr>
        <w:pStyle w:val="BodyText"/>
      </w:pPr>
      <w:r>
        <w:t xml:space="preserve">Signal Foundation,</w:t>
      </w:r>
      <w:r>
        <w:t xml:space="preserve"> </w:t>
      </w:r>
      <w:r>
        <w:t xml:space="preserve">“PQXDH Key Agreement Protocol,”</w:t>
      </w:r>
      <w:r>
        <w:t xml:space="preserve"> </w:t>
      </w:r>
      <w:r>
        <w:t xml:space="preserve">Signal Technical Documentation, 2023.</w:t>
      </w:r>
    </w:p>
    <w:p>
      <w:pPr>
        <w:pStyle w:val="BodyText"/>
      </w:pPr>
      <w:r>
        <w:t xml:space="preserve">Cloudflare,</w:t>
      </w:r>
      <w:r>
        <w:t xml:space="preserve"> </w:t>
      </w:r>
      <w:r>
        <w:t xml:space="preserve">“Post-Quantum Cryptography Goes GA,”</w:t>
      </w:r>
      <w:r>
        <w:t xml:space="preserve"> </w:t>
      </w:r>
      <w:r>
        <w:t xml:space="preserve">Cloudflare Blog, Sept. 29, 2023.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</w:t>
      </w:r>
      <w:r>
        <w:t xml:space="preserve"> </w:t>
      </w:r>
      <w:hyperlink r:id="rId101">
        <w:r>
          <w:rPr>
            <w:rStyle w:val="Hyperlink"/>
          </w:rPr>
          <w:t xml:space="preserve">https://blog.cloudflare.com/post-quantum-cryptography-ga/</w:t>
        </w:r>
      </w:hyperlink>
      <w:r>
        <w:t xml:space="preserve">. Accessed: Dec. 2025.</w:t>
      </w:r>
    </w:p>
    <w:p>
      <w:pPr>
        <w:pStyle w:val="BodyText"/>
      </w:pPr>
      <w:r>
        <w:t xml:space="preserve">P. Schwabe, D. Stebila, and T. Wiggers,</w:t>
      </w:r>
      <w:r>
        <w:t xml:space="preserve"> </w:t>
      </w:r>
      <w:r>
        <w:t xml:space="preserve">“Post-Quantum TLS Without Handshake Signatures,”</w:t>
      </w:r>
      <w:r>
        <w:t xml:space="preserve"> </w:t>
      </w:r>
      <w:r>
        <w:t xml:space="preserve">in Proc. ACM CCS 2020, pp. 1461–1480.</w:t>
      </w:r>
    </w:p>
    <w:p>
      <w:pPr>
        <w:pStyle w:val="BodyText"/>
      </w:pPr>
      <w:r>
        <w:t xml:space="preserve">E. Alkim, L. Ducas, T. Pöppelmann, and P. Schwabe,</w:t>
      </w:r>
      <w:r>
        <w:t xml:space="preserve"> </w:t>
      </w:r>
      <w:r>
        <w:t xml:space="preserve">“Post-Quantum Key Exchange—A New Hope,”</w:t>
      </w:r>
      <w:r>
        <w:t xml:space="preserve"> </w:t>
      </w:r>
      <w:r>
        <w:t xml:space="preserve">in Proc. USENIX Security 2016, pp. 327–343.</w:t>
      </w:r>
    </w:p>
    <w:p>
      <w:pPr>
        <w:pStyle w:val="BodyText"/>
      </w:pPr>
      <w:r>
        <w:t xml:space="preserve">J. Bos et al.,</w:t>
      </w:r>
      <w:r>
        <w:t xml:space="preserve"> </w:t>
      </w:r>
      <w:r>
        <w:t xml:space="preserve">“CRYSTALS—Kyber: A CCA-Secure Module-Lattice-Based KEM,”</w:t>
      </w:r>
      <w:r>
        <w:t xml:space="preserve"> </w:t>
      </w:r>
      <w:r>
        <w:t xml:space="preserve">in Proc. IEEE EuroS&amp;P 2018, pp. 353–367.</w:t>
      </w:r>
    </w:p>
    <w:p>
      <w:pPr>
        <w:pStyle w:val="BodyText"/>
      </w:pPr>
      <w:r>
        <w:t xml:space="preserve">L. Ducas et al.,</w:t>
      </w:r>
      <w:r>
        <w:t xml:space="preserve"> </w:t>
      </w:r>
      <w:r>
        <w:t xml:space="preserve">“CRYSTALS—Dilithium: A Lattice-Based Digital Signature Scheme,”</w:t>
      </w:r>
      <w:r>
        <w:t xml:space="preserve"> </w:t>
      </w:r>
      <w:r>
        <w:t xml:space="preserve">IACR Trans. CHES, vol. 2018, no. 1, pp. 238–268.</w:t>
      </w:r>
    </w:p>
    <w:p>
      <w:pPr>
        <w:pStyle w:val="BodyText"/>
      </w:pPr>
      <w:r>
        <w:t xml:space="preserve">Apple Inc.,</w:t>
      </w:r>
      <w:r>
        <w:t xml:space="preserve"> </w:t>
      </w:r>
      <w:r>
        <w:t xml:space="preserve">“Apple Platform Security,”</w:t>
      </w:r>
      <w:r>
        <w:t xml:space="preserve"> </w:t>
      </w:r>
      <w:r>
        <w:t xml:space="preserve">Apple Security Guide, May 2024.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</w:t>
      </w:r>
      <w:r>
        <w:t xml:space="preserve"> </w:t>
      </w:r>
      <w:hyperlink r:id="rId102">
        <w:r>
          <w:rPr>
            <w:rStyle w:val="Hyperlink"/>
          </w:rPr>
          <w:t xml:space="preserve">https://support.apple.com/guide/security/</w:t>
        </w:r>
      </w:hyperlink>
    </w:p>
    <w:p>
      <w:pPr>
        <w:pStyle w:val="BodyText"/>
      </w:pPr>
      <w:r>
        <w:t xml:space="preserve">D. Beyer et al.,</w:t>
      </w:r>
      <w:r>
        <w:t xml:space="preserve"> </w:t>
      </w:r>
      <w:r>
        <w:t xml:space="preserve">“Software Model Checking,”</w:t>
      </w:r>
      <w:r>
        <w:t xml:space="preserve"> </w:t>
      </w:r>
      <w:r>
        <w:t xml:space="preserve">in Handbook of Model Checking, Springer, 2018.</w:t>
      </w:r>
    </w:p>
    <w:p>
      <w:pPr>
        <w:pStyle w:val="BodyText"/>
      </w:pPr>
      <w:r>
        <w:t xml:space="preserve">B. Beurdouche et al.,</w:t>
      </w:r>
      <w:r>
        <w:t xml:space="preserve"> </w:t>
      </w:r>
      <w:r>
        <w:t xml:space="preserve">“A Messy State of the Union: Taming the Composite State Machines of TLS,”</w:t>
      </w:r>
      <w:r>
        <w:t xml:space="preserve"> </w:t>
      </w:r>
      <w:r>
        <w:t xml:space="preserve">in Proc. IEEE S&amp;P 2015, pp. 535–552.</w:t>
      </w:r>
      <w:r>
        <w:t xml:space="preserve"> </w:t>
      </w:r>
      <w:r>
        <w:t xml:space="preserve">Apple Inc.,</w:t>
      </w:r>
      <w:r>
        <w:t xml:space="preserve"> </w:t>
      </w:r>
      <w:r>
        <w:t xml:space="preserve">“Swift Concurrency,”</w:t>
      </w:r>
      <w:r>
        <w:t xml:space="preserve"> </w:t>
      </w:r>
      <w:r>
        <w:t xml:space="preserve">The Swift Programming Language, 2024.</w:t>
      </w:r>
    </w:p>
    <w:p>
      <w:pPr>
        <w:pStyle w:val="BodyText"/>
      </w:pPr>
      <w:r>
        <w:t xml:space="preserve">E. Rescorla and N. Modadugu,</w:t>
      </w:r>
      <w:r>
        <w:t xml:space="preserve"> </w:t>
      </w:r>
      <w:r>
        <w:t xml:space="preserve">“Datagram Transport Layer Security Version 1.2,”</w:t>
      </w:r>
      <w:r>
        <w:t xml:space="preserve"> </w:t>
      </w:r>
      <w:r>
        <w:t xml:space="preserve">RFC 6347, IETF, Jan. 2012.</w:t>
      </w:r>
    </w:p>
    <w:p>
      <w:pPr>
        <w:pStyle w:val="BodyText"/>
      </w:pPr>
      <w:r>
        <w:t xml:space="preserve">M. Green and M. Smith,</w:t>
      </w:r>
      <w:r>
        <w:t xml:space="preserve"> </w:t>
      </w:r>
      <w:r>
        <w:t xml:space="preserve">“Developers Are Not the Enemy!: The Need for Usable Security APIs,”</w:t>
      </w:r>
      <w:r>
        <w:t xml:space="preserve"> </w:t>
      </w:r>
      <w:r>
        <w:t xml:space="preserve">IEEE Security &amp; Privacy, vol. 14, no. 5, pp. 40–46, Sept./Oct. 2016.</w:t>
      </w:r>
    </w:p>
    <w:p>
      <w:pPr>
        <w:pStyle w:val="BodyText"/>
      </w:pPr>
      <w:r>
        <w:t xml:space="preserve">K. Bhargavan, C. Fournet, M. Kohlweiss, A. Pironti, and P.-Y. Strub,</w:t>
      </w:r>
      <w:r>
        <w:t xml:space="preserve"> </w:t>
      </w:r>
      <w:r>
        <w:t xml:space="preserve">“Implementing TLS with Verified Cryptographic Security,”</w:t>
      </w:r>
      <w:r>
        <w:t xml:space="preserve"> </w:t>
      </w:r>
      <w:r>
        <w:t xml:space="preserve">in Proc. IEEE S&amp;P 2013, pp. 445–459.</w:t>
      </w:r>
    </w:p>
    <w:p>
      <w:pPr>
        <w:pStyle w:val="BodyText"/>
      </w:pPr>
      <w:r>
        <w:t xml:space="preserve">Apple Inc.,</w:t>
      </w:r>
      <w:r>
        <w:t xml:space="preserve"> </w:t>
      </w:r>
      <w:r>
        <w:t xml:space="preserve">“CryptoKit Framework,”</w:t>
      </w:r>
      <w:r>
        <w:t xml:space="preserve"> </w:t>
      </w:r>
      <w:r>
        <w:t xml:space="preserve">Apple Developer Documentation, 2025.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</w:t>
      </w:r>
      <w:r>
        <w:t xml:space="preserve"> </w:t>
      </w:r>
      <w:hyperlink r:id="rId103">
        <w:r>
          <w:rPr>
            <w:rStyle w:val="Hyperlink"/>
          </w:rPr>
          <w:t xml:space="preserve">https://developer.apple.com/documentation/cryptokit</w:t>
        </w:r>
      </w:hyperlink>
      <w:r>
        <w:t xml:space="preserve">. Accessed: Dec. 2025.</w:t>
      </w:r>
    </w:p>
    <w:p>
      <w:pPr>
        <w:pStyle w:val="BodyText"/>
      </w:pPr>
      <w:r>
        <w:t xml:space="preserve">NIST,</w:t>
      </w:r>
      <w:r>
        <w:t xml:space="preserve"> </w:t>
      </w:r>
      <w:r>
        <w:t xml:space="preserve">“Module-Lattice-Based Digital Signature Standard,”</w:t>
      </w:r>
      <w:r>
        <w:t xml:space="preserve"> </w:t>
      </w:r>
      <w:r>
        <w:t xml:space="preserve">FIPS 204, Aug. 2024.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</w:t>
      </w:r>
      <w:r>
        <w:t xml:space="preserve"> </w:t>
      </w:r>
      <w:hyperlink r:id="rId104">
        <w:r>
          <w:rPr>
            <w:rStyle w:val="Hyperlink"/>
          </w:rPr>
          <w:t xml:space="preserve">https://csrc.nist.gov/pubs/fips/204/final</w:t>
        </w:r>
      </w:hyperlink>
    </w:p>
    <w:p>
      <w:pPr>
        <w:pStyle w:val="BodyText"/>
      </w:pPr>
      <w:r>
        <w:t xml:space="preserve">D. McGrew,</w:t>
      </w:r>
      <w:r>
        <w:t xml:space="preserve"> </w:t>
      </w:r>
      <w:r>
        <w:t xml:space="preserve">“Achieving Crypto Agility,”</w:t>
      </w:r>
      <w:r>
        <w:t xml:space="preserve"> </w:t>
      </w:r>
      <w:r>
        <w:t xml:space="preserve">in Proc. RSA Conference, 2019.</w:t>
      </w:r>
    </w:p>
    <w:p>
      <w:pPr>
        <w:pStyle w:val="BodyText"/>
      </w:pPr>
      <w:r>
        <w:t xml:space="preserve">R. Barnes, K. Bhargavan, B. Lipp, and C. Wood,</w:t>
      </w:r>
      <w:r>
        <w:t xml:space="preserve"> </w:t>
      </w:r>
      <w:r>
        <w:t xml:space="preserve">“Hybrid Public Key Encryption,”</w:t>
      </w:r>
      <w:r>
        <w:t xml:space="preserve"> </w:t>
      </w:r>
      <w:r>
        <w:t xml:space="preserve">RFC 9180, IETF, Feb. 2022.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</w:t>
      </w:r>
      <w:r>
        <w:t xml:space="preserve"> </w:t>
      </w:r>
      <w:hyperlink r:id="rId105">
        <w:r>
          <w:rPr>
            <w:rStyle w:val="Hyperlink"/>
          </w:rPr>
          <w:t xml:space="preserve">https://datatracker.ietf.org/doc/rfc9180/</w:t>
        </w:r>
      </w:hyperlink>
    </w:p>
    <w:p>
      <w:pPr>
        <w:pStyle w:val="BodyText"/>
      </w:pPr>
      <w:r>
        <w:t xml:space="preserve">Apple Inc.,</w:t>
      </w:r>
      <w:r>
        <w:t xml:space="preserve"> </w:t>
      </w:r>
      <w:r>
        <w:t xml:space="preserve">“Get ahead with quantum-secure cryptography,”</w:t>
      </w:r>
      <w:r>
        <w:t xml:space="preserve"> </w:t>
      </w:r>
      <w:r>
        <w:t xml:space="preserve">WWDC 2025 Session 314, June 2025.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</w:t>
      </w:r>
      <w:r>
        <w:t xml:space="preserve"> </w:t>
      </w:r>
      <w:hyperlink r:id="rId106">
        <w:r>
          <w:rPr>
            <w:rStyle w:val="Hyperlink"/>
          </w:rPr>
          <w:t xml:space="preserve">https://developer.apple.com/videos/play/wwdc2025/314/</w:t>
        </w:r>
      </w:hyperlink>
      <w:r>
        <w:t xml:space="preserve">. Accessed: Dec. 2025.</w:t>
      </w:r>
    </w:p>
    <w:p>
      <w:pPr>
        <w:pStyle w:val="BodyText"/>
      </w:pPr>
      <w:r>
        <w:t xml:space="preserve">NIST,</w:t>
      </w:r>
      <w:r>
        <w:t xml:space="preserve"> </w:t>
      </w:r>
      <w:r>
        <w:t xml:space="preserve">“Module-Lattice-Based Key-Encapsulation Mechanism Standard,”</w:t>
      </w:r>
      <w:r>
        <w:t xml:space="preserve"> </w:t>
      </w:r>
      <w:r>
        <w:t xml:space="preserve">FIPS 203, Aug. 2024.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</w:t>
      </w:r>
      <w:r>
        <w:t xml:space="preserve"> </w:t>
      </w:r>
      <w:hyperlink r:id="rId107">
        <w:r>
          <w:rPr>
            <w:rStyle w:val="Hyperlink"/>
          </w:rPr>
          <w:t xml:space="preserve">https://csrc.nist.gov/pubs/fips/203/final</w:t>
        </w:r>
      </w:hyperlink>
    </w:p>
    <w:p>
      <w:pPr>
        <w:pStyle w:val="BodyText"/>
      </w:pPr>
      <w:r>
        <w:t xml:space="preserve">M. Barbosa, D. Connolly, J. Duarte, A. Kaiser, P. Schwabe, K. Varber, and B. Westerbaan,</w:t>
      </w:r>
      <w:r>
        <w:t xml:space="preserve"> </w:t>
      </w:r>
      <w:r>
        <w:t xml:space="preserve">“X-Wing: The Hybrid KEM You’ve Been Looking For,”</w:t>
      </w:r>
      <w:r>
        <w:t xml:space="preserve"> </w:t>
      </w:r>
      <w:r>
        <w:t xml:space="preserve">IETF Internet-Draft, 2024.</w:t>
      </w:r>
      <w:r>
        <w:t xml:space="preserve"> </w:t>
      </w:r>
      <w:r>
        <w:t xml:space="preserve">[</w:t>
      </w:r>
      <w:r>
        <w:t xml:space="preserve">Online</w:t>
      </w:r>
      <w:r>
        <w:t xml:space="preserve">]</w:t>
      </w:r>
      <w:r>
        <w:t xml:space="preserve">. Available:</w:t>
      </w:r>
      <w:r>
        <w:t xml:space="preserve"> </w:t>
      </w:r>
      <w:hyperlink r:id="rId108">
        <w:r>
          <w:rPr>
            <w:rStyle w:val="Hyperlink"/>
          </w:rPr>
          <w:t xml:space="preserve">https://datatracker.ietf.org/doc/draft-connolly-cfrg-xwing-kem/</w:t>
        </w:r>
      </w:hyperlink>
    </w:p>
    <w:p>
      <w:pPr>
        <w:pStyle w:val="BodyText"/>
      </w:pPr>
      <w:r>
        <w:t xml:space="preserve">D. J. Bernstein,</w:t>
      </w:r>
      <w:r>
        <w:t xml:space="preserve"> </w:t>
      </w:r>
      <w:r>
        <w:t xml:space="preserve">“Curve25519: New Diffie-Hellman Speed Records,”</w:t>
      </w:r>
      <w:r>
        <w:t xml:space="preserve"> </w:t>
      </w:r>
      <w:r>
        <w:t xml:space="preserve">in Proc. PKC 2006, LNCS 3958, Springer, 2006, pp. 207–228.</w:t>
      </w:r>
    </w:p>
    <w:p>
      <w:pPr>
        <w:pStyle w:val="BodyText"/>
      </w:pPr>
      <w:r>
        <w:t xml:space="preserve">D. J. Bernstein, N. Duif, T. Lange, P. Schwabe, and B.-Y. Yang,</w:t>
      </w:r>
      <w:r>
        <w:t xml:space="preserve"> </w:t>
      </w:r>
      <w:r>
        <w:t xml:space="preserve">“High-Speed High-Security Signatures,”</w:t>
      </w:r>
      <w:r>
        <w:t xml:space="preserve"> </w:t>
      </w:r>
      <w:r>
        <w:t xml:space="preserve">J. Cryptographic Engineering, vol. 2, no. 2, pp. 77–89, 2012.</w:t>
      </w:r>
    </w:p>
    <w:p>
      <w:pPr>
        <w:pStyle w:val="BodyText"/>
      </w:pPr>
      <w:r>
        <w:t xml:space="preserve">H. Krawczyk,</w:t>
      </w:r>
      <w:r>
        <w:t xml:space="preserve"> </w:t>
      </w:r>
      <w:r>
        <w:t xml:space="preserve">“SIGMA: The</w:t>
      </w:r>
      <w:r>
        <w:t xml:space="preserve"> </w:t>
      </w:r>
      <w:r>
        <w:t xml:space="preserve">‘SIGn-and-MAc’</w:t>
      </w:r>
      <w:r>
        <w:t xml:space="preserve"> </w:t>
      </w:r>
      <w:r>
        <w:t xml:space="preserve">Approach to Authenticated Diffie-Hellman and Its Use in the IKE Protocols,”</w:t>
      </w:r>
      <w:r>
        <w:t xml:space="preserve"> </w:t>
      </w:r>
      <w:r>
        <w:t xml:space="preserve">in Proc. CRYPTO 2003, LNCS 2729, pp. 400–425.</w:t>
      </w:r>
    </w:p>
    <w:p>
      <w:pPr>
        <w:pStyle w:val="BodyText"/>
      </w:pPr>
      <w:r>
        <w:t xml:space="preserve">H. Krawczyk and P. Eronen,</w:t>
      </w:r>
      <w:r>
        <w:t xml:space="preserve"> </w:t>
      </w:r>
      <w:r>
        <w:t xml:space="preserve">“HMAC-based Extract-and-Expand Key Derivation Function (HKDF),”</w:t>
      </w:r>
      <w:r>
        <w:t xml:space="preserve"> </w:t>
      </w:r>
      <w:r>
        <w:t xml:space="preserve">RFC 5869, IETF, May 2010.</w:t>
      </w:r>
    </w:p>
    <w:p>
      <w:pPr>
        <w:pStyle w:val="BodyText"/>
      </w:pPr>
      <w:r>
        <w:t xml:space="preserve">M. Dworkin,</w:t>
      </w:r>
      <w:r>
        <w:t xml:space="preserve"> </w:t>
      </w:r>
      <w:r>
        <w:t xml:space="preserve">“Recommendation for Block Cipher Modes of Operation: Galois/Counter Mode (GCM) and GMAC,”</w:t>
      </w:r>
      <w:r>
        <w:t xml:space="preserve"> </w:t>
      </w:r>
      <w:r>
        <w:t xml:space="preserve">NIST SP 800-38D, Nov. 2007.</w:t>
      </w:r>
    </w:p>
    <w:p>
      <w:pPr>
        <w:pStyle w:val="BodyText"/>
      </w:pPr>
      <w:r>
        <w:t xml:space="preserve">N. Aviram et al.,</w:t>
      </w:r>
      <w:r>
        <w:t xml:space="preserve"> </w:t>
      </w:r>
      <w:r>
        <w:t xml:space="preserve">“DROWN: Breaking TLS Using SSLv2,”</w:t>
      </w:r>
      <w:r>
        <w:t xml:space="preserve"> </w:t>
      </w:r>
      <w:r>
        <w:t xml:space="preserve">in Proc. USENIX Security 2016, pp. 689–706.</w:t>
      </w:r>
    </w:p>
    <w:p>
      <w:pPr>
        <w:pStyle w:val="BodyText"/>
      </w:pPr>
      <w:r>
        <w:t xml:space="preserve">D. Adrian et al.,</w:t>
      </w:r>
      <w:r>
        <w:t xml:space="preserve"> </w:t>
      </w:r>
      <w:r>
        <w:t xml:space="preserve">“Imperfect Forward Secrecy: How Diffie-Hellman Fails in Practice,”</w:t>
      </w:r>
      <w:r>
        <w:t xml:space="preserve"> </w:t>
      </w:r>
      <w:r>
        <w:t xml:space="preserve">in Proc. ACM CCS 2015, pp. 5–17.</w:t>
      </w:r>
    </w:p>
    <w:p>
      <w:pPr>
        <w:pStyle w:val="BodyText"/>
      </w:pPr>
      <w:r>
        <w:t xml:space="preserve">C. Meyer and J. Schwenk,</w:t>
      </w:r>
      <w:r>
        <w:t xml:space="preserve"> </w:t>
      </w:r>
      <w:r>
        <w:t xml:space="preserve">“Lessons Learned From Previous SSL/TLS Attacks—A Brief Chronology of Attacks and Weaknesses,”</w:t>
      </w:r>
      <w:r>
        <w:t xml:space="preserve"> </w:t>
      </w:r>
      <w:r>
        <w:t xml:space="preserve">IACR Cryptology ePrint Archive, Report 2013/049, 2013.</w:t>
      </w:r>
    </w:p>
    <w:p>
      <w:pPr>
        <w:pStyle w:val="BodyText"/>
      </w:pPr>
      <w:r>
        <w:t xml:space="preserve">T. Tarman, R. Hutchinson, L. Pierson, P. Sholander, and E. Witzke,</w:t>
      </w:r>
      <w:r>
        <w:t xml:space="preserve"> </w:t>
      </w:r>
      <w:r>
        <w:t xml:space="preserve">“Algorithm-Agile Encryption in ATM Networks,”</w:t>
      </w:r>
      <w:r>
        <w:t xml:space="preserve"> </w:t>
      </w:r>
      <w:r>
        <w:t xml:space="preserve">IEEE Computer, vol. 31, no. 9, pp. 57–64, Sept. 1998.</w:t>
      </w:r>
    </w:p>
    <w:p>
      <w:pPr>
        <w:pStyle w:val="BodyText"/>
      </w:pPr>
      <w:r>
        <w:t xml:space="preserve">B. Sullivan and V. Liu,</w:t>
      </w:r>
      <w:r>
        <w:t xml:space="preserve"> </w:t>
      </w:r>
      <w:r>
        <w:t xml:space="preserve">“Web Application Security: A Beginner’s Guide,”</w:t>
      </w:r>
      <w:r>
        <w:t xml:space="preserve"> </w:t>
      </w:r>
      <w:r>
        <w:t xml:space="preserve">McGraw-Hill, 2011, ch. 6 (Cryptographic Agility).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5" Target="media/rId55.pdf" /><Relationship Type="http://schemas.openxmlformats.org/officeDocument/2006/relationships/image" Id="rId63" Target="media/rId63.pdf" /><Relationship Type="http://schemas.openxmlformats.org/officeDocument/2006/relationships/image" Id="rId59" Target="media/rId59.pdf" /><Relationship Type="http://schemas.openxmlformats.org/officeDocument/2006/relationships/image" Id="rId68" Target="media/rId68.pdf" /><Relationship Type="http://schemas.openxmlformats.org/officeDocument/2006/relationships/image" Id="rId20" Target="media/rId20.pdf" /><Relationship Type="http://schemas.openxmlformats.org/officeDocument/2006/relationships/image" Id="rId72" Target="media/rId72.pdf" /><Relationship Type="http://schemas.openxmlformats.org/officeDocument/2006/relationships/image" Id="rId51" Target="media/rId51.pdf" /><Relationship Type="http://schemas.openxmlformats.org/officeDocument/2006/relationships/image" Id="rId76" Target="media/rId76.pdf" /><Relationship Type="http://schemas.openxmlformats.org/officeDocument/2006/relationships/image" Id="rId80" Target="media/rId80.pdf" /><Relationship Type="http://schemas.openxmlformats.org/officeDocument/2006/relationships/hyperlink" Id="rId101" Target="https://blog.cloudflare.com/post-quantum-cryptography-ga/" TargetMode="External" /><Relationship Type="http://schemas.openxmlformats.org/officeDocument/2006/relationships/hyperlink" Id="rId100" Target="https://csrc.nist.gov/projects/post-quantum-cryptography" TargetMode="External" /><Relationship Type="http://schemas.openxmlformats.org/officeDocument/2006/relationships/hyperlink" Id="rId107" Target="https://csrc.nist.gov/pubs/fips/203/final" TargetMode="External" /><Relationship Type="http://schemas.openxmlformats.org/officeDocument/2006/relationships/hyperlink" Id="rId104" Target="https://csrc.nist.gov/pubs/fips/204/final" TargetMode="External" /><Relationship Type="http://schemas.openxmlformats.org/officeDocument/2006/relationships/hyperlink" Id="rId108" Target="https://datatracker.ietf.org/doc/draft-connolly-cfrg-xwing-kem/" TargetMode="External" /><Relationship Type="http://schemas.openxmlformats.org/officeDocument/2006/relationships/hyperlink" Id="rId98" Target="https://datatracker.ietf.org/doc/rfc9000/" TargetMode="External" /><Relationship Type="http://schemas.openxmlformats.org/officeDocument/2006/relationships/hyperlink" Id="rId105" Target="https://datatracker.ietf.org/doc/rfc9180/" TargetMode="External" /><Relationship Type="http://schemas.openxmlformats.org/officeDocument/2006/relationships/hyperlink" Id="rId97" Target="https://datatracker.ietf.org/doc/rfc9383/" TargetMode="External" /><Relationship Type="http://schemas.openxmlformats.org/officeDocument/2006/relationships/hyperlink" Id="rId103" Target="https://developer.apple.com/documentation/cryptokit" TargetMode="External" /><Relationship Type="http://schemas.openxmlformats.org/officeDocument/2006/relationships/hyperlink" Id="rId106" Target="https://developer.apple.com/videos/play/wwdc2025/314/" TargetMode="External" /><Relationship Type="http://schemas.openxmlformats.org/officeDocument/2006/relationships/hyperlink" Id="rId93" Target="https://github.com/billlza/Skybridge-Compass" TargetMode="External" /><Relationship Type="http://schemas.openxmlformats.org/officeDocument/2006/relationships/hyperlink" Id="rId95" Target="https://github.com/billlza/Skybridge-Compass/archive/refs/tags/artifact-v1.tar.gz" TargetMode="External" /><Relationship Type="http://schemas.openxmlformats.org/officeDocument/2006/relationships/hyperlink" Id="rId94" Target="https://github.com/billlza/Skybridge-Compass/archive/refs/tags/artifact-v1.zip" TargetMode="External" /><Relationship Type="http://schemas.openxmlformats.org/officeDocument/2006/relationships/hyperlink" Id="rId99" Target="https://noiseprotocol.org/noise.pdf" TargetMode="External" /><Relationship Type="http://schemas.openxmlformats.org/officeDocument/2006/relationships/hyperlink" Id="rId102" Target="https://support.apple.com/guide/securit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blog.cloudflare.com/post-quantum-cryptography-ga/" TargetMode="External" /><Relationship Type="http://schemas.openxmlformats.org/officeDocument/2006/relationships/hyperlink" Id="rId100" Target="https://csrc.nist.gov/projects/post-quantum-cryptography" TargetMode="External" /><Relationship Type="http://schemas.openxmlformats.org/officeDocument/2006/relationships/hyperlink" Id="rId107" Target="https://csrc.nist.gov/pubs/fips/203/final" TargetMode="External" /><Relationship Type="http://schemas.openxmlformats.org/officeDocument/2006/relationships/hyperlink" Id="rId104" Target="https://csrc.nist.gov/pubs/fips/204/final" TargetMode="External" /><Relationship Type="http://schemas.openxmlformats.org/officeDocument/2006/relationships/hyperlink" Id="rId108" Target="https://datatracker.ietf.org/doc/draft-connolly-cfrg-xwing-kem/" TargetMode="External" /><Relationship Type="http://schemas.openxmlformats.org/officeDocument/2006/relationships/hyperlink" Id="rId98" Target="https://datatracker.ietf.org/doc/rfc9000/" TargetMode="External" /><Relationship Type="http://schemas.openxmlformats.org/officeDocument/2006/relationships/hyperlink" Id="rId105" Target="https://datatracker.ietf.org/doc/rfc9180/" TargetMode="External" /><Relationship Type="http://schemas.openxmlformats.org/officeDocument/2006/relationships/hyperlink" Id="rId97" Target="https://datatracker.ietf.org/doc/rfc9383/" TargetMode="External" /><Relationship Type="http://schemas.openxmlformats.org/officeDocument/2006/relationships/hyperlink" Id="rId103" Target="https://developer.apple.com/documentation/cryptokit" TargetMode="External" /><Relationship Type="http://schemas.openxmlformats.org/officeDocument/2006/relationships/hyperlink" Id="rId106" Target="https://developer.apple.com/videos/play/wwdc2025/314/" TargetMode="External" /><Relationship Type="http://schemas.openxmlformats.org/officeDocument/2006/relationships/hyperlink" Id="rId93" Target="https://github.com/billlza/Skybridge-Compass" TargetMode="External" /><Relationship Type="http://schemas.openxmlformats.org/officeDocument/2006/relationships/hyperlink" Id="rId95" Target="https://github.com/billlza/Skybridge-Compass/archive/refs/tags/artifact-v1.tar.gz" TargetMode="External" /><Relationship Type="http://schemas.openxmlformats.org/officeDocument/2006/relationships/hyperlink" Id="rId94" Target="https://github.com/billlza/Skybridge-Compass/archive/refs/tags/artifact-v1.zip" TargetMode="External" /><Relationship Type="http://schemas.openxmlformats.org/officeDocument/2006/relationships/hyperlink" Id="rId99" Target="https://noiseprotocol.org/noise.pdf" TargetMode="External" /><Relationship Type="http://schemas.openxmlformats.org/officeDocument/2006/relationships/hyperlink" Id="rId102" Target="https://support.apple.com/guide/securit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SkyBridge Compass: A Crypto-Agile Peer-to-Peer Remote Desktop and File Transfer System with Auditable Downgrade Policy and Post-Quantum Readiness</dc:title>
  <dc:creator>Zi’ang Li</dc:creator>
  <cp:keywords/>
  <dcterms:created xsi:type="dcterms:W3CDTF">2026-01-19T01:44:34Z</dcterms:created>
  <dcterms:modified xsi:type="dcterms:W3CDTF">2026-01-19T01:44:34Z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