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6997C" w14:textId="77777777" w:rsidR="0021267D" w:rsidRDefault="0021267D"/>
    <w:p w14:paraId="73DB0BE6" w14:textId="77777777" w:rsidR="0021267D" w:rsidRDefault="0021267D"/>
    <w:p w14:paraId="35647F4D" w14:textId="77777777" w:rsidR="0021267D" w:rsidRDefault="00586C61">
      <w:pPr>
        <w:pStyle w:val="Title"/>
        <w:jc w:val="center"/>
      </w:pPr>
      <w:r>
        <w:rPr>
          <w:color w:val="1A365D"/>
          <w:sz w:val="56"/>
        </w:rPr>
        <w:t>Executive Alignment Risk Scan</w:t>
      </w:r>
    </w:p>
    <w:p w14:paraId="6B74737A" w14:textId="77777777" w:rsidR="0021267D" w:rsidRDefault="00586C61">
      <w:pPr>
        <w:jc w:val="center"/>
      </w:pPr>
      <w:r>
        <w:rPr>
          <w:color w:val="666666"/>
          <w:sz w:val="28"/>
        </w:rPr>
        <w:t>Assessment Analysis Logic &amp; Scoring Reference</w:t>
      </w:r>
    </w:p>
    <w:p w14:paraId="6D7F0C99" w14:textId="77777777" w:rsidR="0021267D" w:rsidRDefault="0021267D"/>
    <w:p w14:paraId="3E133E65" w14:textId="77777777" w:rsidR="0021267D" w:rsidRDefault="00586C61">
      <w:pPr>
        <w:jc w:val="center"/>
      </w:pPr>
      <w:r>
        <w:rPr>
          <w:i/>
          <w:color w:val="1A365D"/>
          <w:sz w:val="24"/>
        </w:rPr>
        <w:t>Dualign — Leadership in Balance</w:t>
      </w:r>
    </w:p>
    <w:p w14:paraId="034D896E" w14:textId="77777777" w:rsidR="0021267D" w:rsidRDefault="0021267D"/>
    <w:p w14:paraId="509DE12E" w14:textId="77777777" w:rsidR="0021267D" w:rsidRDefault="0021267D"/>
    <w:p w14:paraId="53D47F99" w14:textId="77777777" w:rsidR="0021267D" w:rsidRDefault="00586C61">
      <w:r>
        <w:br w:type="page"/>
      </w:r>
    </w:p>
    <w:p w14:paraId="1A2FF1EB" w14:textId="77777777" w:rsidR="0021267D" w:rsidRDefault="00586C61">
      <w:pPr>
        <w:pStyle w:val="Heading1"/>
      </w:pPr>
      <w:r>
        <w:lastRenderedPageBreak/>
        <w:t>1. Overview</w:t>
      </w:r>
    </w:p>
    <w:p w14:paraId="3C6075F9" w14:textId="77777777" w:rsidR="0021267D" w:rsidRDefault="00586C61">
      <w:r>
        <w:t>The Executive Alignment Risk Scan is a diagnostic tool that measures how well an organization balances two leadership dimensions: Heart (emotional intelligence, trust, cultural health) and Head (analytical rigor, decision discipline, systems maturity). It is embedded in the Dualign website at framework.html#assessment.</w:t>
      </w:r>
    </w:p>
    <w:p w14:paraId="5B9AB4BC" w14:textId="77777777" w:rsidR="0021267D" w:rsidRDefault="00586C61">
      <w:r>
        <w:t>The assessment identifies where leadership friction is costing an organization money — and classifies the result into one of three risk zones with a specific profile variant.</w:t>
      </w:r>
    </w:p>
    <w:p w14:paraId="591483FC" w14:textId="77777777" w:rsidR="0021267D" w:rsidRDefault="00586C61">
      <w:pPr>
        <w:pStyle w:val="Heading2"/>
      </w:pPr>
      <w:r>
        <w:t>Assessment Flow</w:t>
      </w:r>
    </w:p>
    <w:p w14:paraId="031845C6" w14:textId="77777777" w:rsidR="0021267D" w:rsidRDefault="00586C61">
      <w:r>
        <w:rPr>
          <w:b/>
          <w:color w:val="1A365D"/>
        </w:rPr>
        <w:t xml:space="preserve">Step 1: </w:t>
      </w:r>
      <w:r>
        <w:rPr>
          <w:b/>
        </w:rPr>
        <w:t xml:space="preserve">Intro Screen — </w:t>
      </w:r>
      <w:r>
        <w:t>Overview of the diagnostic: 10 questions, ~5 minutes, instant results.</w:t>
      </w:r>
    </w:p>
    <w:p w14:paraId="55396DA2" w14:textId="77777777" w:rsidR="0021267D" w:rsidRDefault="00586C61">
      <w:r>
        <w:rPr>
          <w:b/>
          <w:color w:val="1A365D"/>
        </w:rPr>
        <w:t xml:space="preserve">Step 2: </w:t>
      </w:r>
      <w:r>
        <w:rPr>
          <w:b/>
        </w:rPr>
        <w:t xml:space="preserve">10 Rating Questions — </w:t>
      </w:r>
      <w:r>
        <w:t>5 Heart questions followed by 5 Head questions. Each rated on a 1–5 Likert scale.</w:t>
      </w:r>
    </w:p>
    <w:p w14:paraId="172FBC3E" w14:textId="77777777" w:rsidR="0021267D" w:rsidRDefault="00586C61">
      <w:r>
        <w:rPr>
          <w:b/>
          <w:color w:val="1A365D"/>
        </w:rPr>
        <w:t xml:space="preserve">Step 3: </w:t>
      </w:r>
      <w:r>
        <w:rPr>
          <w:b/>
        </w:rPr>
        <w:t xml:space="preserve">Lead Capture Form — </w:t>
      </w:r>
      <w:r>
        <w:t>Name, work email, company, role, phone (optional). Option to receive results via email.</w:t>
      </w:r>
    </w:p>
    <w:p w14:paraId="1D555F95" w14:textId="77777777" w:rsidR="0021267D" w:rsidRDefault="00586C61">
      <w:r>
        <w:rPr>
          <w:b/>
          <w:color w:val="1A365D"/>
        </w:rPr>
        <w:t xml:space="preserve">Step 4: </w:t>
      </w:r>
      <w:r>
        <w:rPr>
          <w:b/>
        </w:rPr>
        <w:t xml:space="preserve">Results Dashboard — </w:t>
      </w:r>
      <w:r>
        <w:t>Quadrant visualization, Heart/Head percentage scores, zone-based profile type, and personalized narrative insights.</w:t>
      </w:r>
    </w:p>
    <w:p w14:paraId="6F408E6C" w14:textId="77777777" w:rsidR="0021267D" w:rsidRDefault="00586C61">
      <w:pPr>
        <w:pStyle w:val="Heading1"/>
      </w:pPr>
      <w:r>
        <w:t>2. Rating Scale</w:t>
      </w:r>
    </w:p>
    <w:p w14:paraId="1AA4C763" w14:textId="77777777" w:rsidR="0021267D" w:rsidRDefault="00586C61">
      <w:r>
        <w:t>Every question uses a 5-point Likert scale. The respondent selects one rating per question.</w:t>
      </w:r>
    </w:p>
    <w:tbl>
      <w:tblPr>
        <w:tblStyle w:val="TableGrid"/>
        <w:tblW w:w="0" w:type="auto"/>
        <w:jc w:val="center"/>
        <w:tblLook w:val="04A0" w:firstRow="1" w:lastRow="0" w:firstColumn="1" w:lastColumn="0" w:noHBand="0" w:noVBand="1"/>
      </w:tblPr>
      <w:tblGrid>
        <w:gridCol w:w="1134"/>
        <w:gridCol w:w="2268"/>
        <w:gridCol w:w="5669"/>
      </w:tblGrid>
      <w:tr w:rsidR="0021267D" w14:paraId="41EBBEEF" w14:textId="77777777">
        <w:trPr>
          <w:jc w:val="center"/>
        </w:trPr>
        <w:tc>
          <w:tcPr>
            <w:tcW w:w="1134" w:type="dxa"/>
            <w:shd w:val="clear" w:color="auto" w:fill="1A365D"/>
          </w:tcPr>
          <w:p w14:paraId="3E81E812" w14:textId="77777777" w:rsidR="0021267D" w:rsidRDefault="00586C61">
            <w:r>
              <w:rPr>
                <w:b/>
                <w:color w:val="FFFFFF"/>
                <w:sz w:val="20"/>
              </w:rPr>
              <w:t>Value</w:t>
            </w:r>
          </w:p>
        </w:tc>
        <w:tc>
          <w:tcPr>
            <w:tcW w:w="2268" w:type="dxa"/>
            <w:shd w:val="clear" w:color="auto" w:fill="1A365D"/>
          </w:tcPr>
          <w:p w14:paraId="18B0E2D8" w14:textId="77777777" w:rsidR="0021267D" w:rsidRDefault="00586C61">
            <w:r>
              <w:rPr>
                <w:b/>
                <w:color w:val="FFFFFF"/>
                <w:sz w:val="20"/>
              </w:rPr>
              <w:t>Label</w:t>
            </w:r>
          </w:p>
        </w:tc>
        <w:tc>
          <w:tcPr>
            <w:tcW w:w="5669" w:type="dxa"/>
            <w:shd w:val="clear" w:color="auto" w:fill="1A365D"/>
          </w:tcPr>
          <w:p w14:paraId="54FB25F3" w14:textId="77777777" w:rsidR="0021267D" w:rsidRDefault="00586C61">
            <w:r>
              <w:rPr>
                <w:b/>
                <w:color w:val="FFFFFF"/>
                <w:sz w:val="20"/>
              </w:rPr>
              <w:t>Interpretation</w:t>
            </w:r>
          </w:p>
        </w:tc>
      </w:tr>
      <w:tr w:rsidR="0021267D" w14:paraId="2EB07388" w14:textId="77777777">
        <w:trPr>
          <w:jc w:val="center"/>
        </w:trPr>
        <w:tc>
          <w:tcPr>
            <w:tcW w:w="1134" w:type="dxa"/>
          </w:tcPr>
          <w:p w14:paraId="0C08A0A2" w14:textId="77777777" w:rsidR="0021267D" w:rsidRDefault="00586C61">
            <w:r>
              <w:t>1</w:t>
            </w:r>
          </w:p>
        </w:tc>
        <w:tc>
          <w:tcPr>
            <w:tcW w:w="2268" w:type="dxa"/>
          </w:tcPr>
          <w:p w14:paraId="4207171B" w14:textId="77777777" w:rsidR="0021267D" w:rsidRDefault="00586C61">
            <w:r>
              <w:t>Strongly Disagree</w:t>
            </w:r>
          </w:p>
        </w:tc>
        <w:tc>
          <w:tcPr>
            <w:tcW w:w="5669" w:type="dxa"/>
          </w:tcPr>
          <w:p w14:paraId="250E3FC0" w14:textId="77777777" w:rsidR="0021267D" w:rsidRDefault="00586C61">
            <w:r>
              <w:t>Significant gap — this capability is absent or actively failing</w:t>
            </w:r>
          </w:p>
        </w:tc>
      </w:tr>
      <w:tr w:rsidR="0021267D" w14:paraId="551093CE" w14:textId="77777777">
        <w:trPr>
          <w:jc w:val="center"/>
        </w:trPr>
        <w:tc>
          <w:tcPr>
            <w:tcW w:w="1134" w:type="dxa"/>
          </w:tcPr>
          <w:p w14:paraId="424CE686" w14:textId="77777777" w:rsidR="0021267D" w:rsidRDefault="00586C61">
            <w:r>
              <w:t>2</w:t>
            </w:r>
          </w:p>
        </w:tc>
        <w:tc>
          <w:tcPr>
            <w:tcW w:w="2268" w:type="dxa"/>
          </w:tcPr>
          <w:p w14:paraId="1B346C69" w14:textId="77777777" w:rsidR="0021267D" w:rsidRDefault="00586C61">
            <w:r>
              <w:t>Disagree</w:t>
            </w:r>
          </w:p>
        </w:tc>
        <w:tc>
          <w:tcPr>
            <w:tcW w:w="5669" w:type="dxa"/>
          </w:tcPr>
          <w:p w14:paraId="452FC7CB" w14:textId="77777777" w:rsidR="0021267D" w:rsidRDefault="00586C61">
            <w:r>
              <w:t>Notable weakness — inconsistent or unreliable</w:t>
            </w:r>
          </w:p>
        </w:tc>
      </w:tr>
      <w:tr w:rsidR="0021267D" w14:paraId="47CAE007" w14:textId="77777777">
        <w:trPr>
          <w:jc w:val="center"/>
        </w:trPr>
        <w:tc>
          <w:tcPr>
            <w:tcW w:w="1134" w:type="dxa"/>
          </w:tcPr>
          <w:p w14:paraId="7803369A" w14:textId="77777777" w:rsidR="0021267D" w:rsidRDefault="00586C61">
            <w:r>
              <w:t>3</w:t>
            </w:r>
          </w:p>
        </w:tc>
        <w:tc>
          <w:tcPr>
            <w:tcW w:w="2268" w:type="dxa"/>
          </w:tcPr>
          <w:p w14:paraId="2E5299F2" w14:textId="77777777" w:rsidR="0021267D" w:rsidRDefault="00586C61">
            <w:r>
              <w:t>Neutral</w:t>
            </w:r>
          </w:p>
        </w:tc>
        <w:tc>
          <w:tcPr>
            <w:tcW w:w="5669" w:type="dxa"/>
          </w:tcPr>
          <w:p w14:paraId="31E8B740" w14:textId="77777777" w:rsidR="0021267D" w:rsidRDefault="00586C61">
            <w:r>
              <w:t>Partially present — emerging but not dependable</w:t>
            </w:r>
          </w:p>
        </w:tc>
      </w:tr>
      <w:tr w:rsidR="0021267D" w14:paraId="6D34DC10" w14:textId="77777777">
        <w:trPr>
          <w:jc w:val="center"/>
        </w:trPr>
        <w:tc>
          <w:tcPr>
            <w:tcW w:w="1134" w:type="dxa"/>
          </w:tcPr>
          <w:p w14:paraId="4D0134D9" w14:textId="77777777" w:rsidR="0021267D" w:rsidRDefault="00586C61">
            <w:r>
              <w:t>4</w:t>
            </w:r>
          </w:p>
        </w:tc>
        <w:tc>
          <w:tcPr>
            <w:tcW w:w="2268" w:type="dxa"/>
          </w:tcPr>
          <w:p w14:paraId="42554D89" w14:textId="77777777" w:rsidR="0021267D" w:rsidRDefault="00586C61">
            <w:r>
              <w:t>Agree</w:t>
            </w:r>
          </w:p>
        </w:tc>
        <w:tc>
          <w:tcPr>
            <w:tcW w:w="5669" w:type="dxa"/>
          </w:tcPr>
          <w:p w14:paraId="5D8C5F67" w14:textId="77777777" w:rsidR="0021267D" w:rsidRDefault="00586C61">
            <w:r>
              <w:t>Generally strong — present with minor gaps</w:t>
            </w:r>
          </w:p>
        </w:tc>
      </w:tr>
      <w:tr w:rsidR="0021267D" w14:paraId="44B58B54" w14:textId="77777777">
        <w:trPr>
          <w:jc w:val="center"/>
        </w:trPr>
        <w:tc>
          <w:tcPr>
            <w:tcW w:w="1134" w:type="dxa"/>
          </w:tcPr>
          <w:p w14:paraId="1FEB565D" w14:textId="77777777" w:rsidR="0021267D" w:rsidRDefault="00586C61">
            <w:r>
              <w:t>5</w:t>
            </w:r>
          </w:p>
        </w:tc>
        <w:tc>
          <w:tcPr>
            <w:tcW w:w="2268" w:type="dxa"/>
          </w:tcPr>
          <w:p w14:paraId="225CEDB3" w14:textId="77777777" w:rsidR="0021267D" w:rsidRDefault="00586C61">
            <w:r>
              <w:t>Strongly Agree</w:t>
            </w:r>
          </w:p>
        </w:tc>
        <w:tc>
          <w:tcPr>
            <w:tcW w:w="5669" w:type="dxa"/>
          </w:tcPr>
          <w:p w14:paraId="6217C38B" w14:textId="77777777" w:rsidR="0021267D" w:rsidRDefault="00586C61">
            <w:r>
              <w:t>Fully embedded — consistent and reliable</w:t>
            </w:r>
          </w:p>
        </w:tc>
      </w:tr>
    </w:tbl>
    <w:p w14:paraId="03AEFB92" w14:textId="77777777" w:rsidR="0021267D" w:rsidRDefault="00586C61">
      <w:pPr>
        <w:pStyle w:val="Heading1"/>
      </w:pPr>
      <w:r>
        <w:t>3. Assessment Questions</w:t>
      </w:r>
    </w:p>
    <w:p w14:paraId="6AF5D2A6" w14:textId="77777777" w:rsidR="0021267D" w:rsidRDefault="00586C61">
      <w:pPr>
        <w:pStyle w:val="Heading2"/>
      </w:pPr>
      <w:r>
        <w:rPr>
          <w:color w:val="E53E3E"/>
        </w:rPr>
        <w:t>Heart — Risk Management (Questions 1–5)</w:t>
      </w:r>
    </w:p>
    <w:p w14:paraId="739F1680" w14:textId="77777777" w:rsidR="0021267D" w:rsidRDefault="00586C61">
      <w:r>
        <w:t>Heart measures the organizational capacity for trust, transparency, talent retention, and cultural resilience. Each question maps to a specific enterprise risk.</w:t>
      </w:r>
    </w:p>
    <w:tbl>
      <w:tblPr>
        <w:tblStyle w:val="TableGrid"/>
        <w:tblW w:w="0" w:type="auto"/>
        <w:jc w:val="center"/>
        <w:tblLook w:val="04A0" w:firstRow="1" w:lastRow="0" w:firstColumn="1" w:lastColumn="0" w:noHBand="0" w:noVBand="1"/>
      </w:tblPr>
      <w:tblGrid>
        <w:gridCol w:w="680"/>
        <w:gridCol w:w="5102"/>
        <w:gridCol w:w="1984"/>
        <w:gridCol w:w="1701"/>
      </w:tblGrid>
      <w:tr w:rsidR="0021267D" w14:paraId="31EE4F8A" w14:textId="77777777">
        <w:trPr>
          <w:jc w:val="center"/>
        </w:trPr>
        <w:tc>
          <w:tcPr>
            <w:tcW w:w="680" w:type="dxa"/>
            <w:shd w:val="clear" w:color="auto" w:fill="C53030"/>
          </w:tcPr>
          <w:p w14:paraId="392F116E" w14:textId="77777777" w:rsidR="0021267D" w:rsidRDefault="00586C61">
            <w:r>
              <w:rPr>
                <w:b/>
                <w:color w:val="FFFFFF"/>
                <w:sz w:val="20"/>
              </w:rPr>
              <w:t>#</w:t>
            </w:r>
          </w:p>
        </w:tc>
        <w:tc>
          <w:tcPr>
            <w:tcW w:w="5102" w:type="dxa"/>
            <w:shd w:val="clear" w:color="auto" w:fill="C53030"/>
          </w:tcPr>
          <w:p w14:paraId="5DBC7636" w14:textId="77777777" w:rsidR="0021267D" w:rsidRDefault="00586C61">
            <w:r>
              <w:rPr>
                <w:b/>
                <w:color w:val="FFFFFF"/>
                <w:sz w:val="20"/>
              </w:rPr>
              <w:t>Statement</w:t>
            </w:r>
          </w:p>
        </w:tc>
        <w:tc>
          <w:tcPr>
            <w:tcW w:w="1984" w:type="dxa"/>
            <w:shd w:val="clear" w:color="auto" w:fill="C53030"/>
          </w:tcPr>
          <w:p w14:paraId="220FD9E0" w14:textId="77777777" w:rsidR="0021267D" w:rsidRDefault="00586C61">
            <w:r>
              <w:rPr>
                <w:b/>
                <w:color w:val="FFFFFF"/>
                <w:sz w:val="20"/>
              </w:rPr>
              <w:t>Risk Label</w:t>
            </w:r>
          </w:p>
        </w:tc>
        <w:tc>
          <w:tcPr>
            <w:tcW w:w="1701" w:type="dxa"/>
            <w:shd w:val="clear" w:color="auto" w:fill="C53030"/>
          </w:tcPr>
          <w:p w14:paraId="55261B33" w14:textId="77777777" w:rsidR="0021267D" w:rsidRDefault="00586C61">
            <w:r>
              <w:rPr>
                <w:b/>
                <w:color w:val="FFFFFF"/>
                <w:sz w:val="20"/>
              </w:rPr>
              <w:t>Risk Category</w:t>
            </w:r>
          </w:p>
        </w:tc>
      </w:tr>
      <w:tr w:rsidR="0021267D" w14:paraId="3F443151" w14:textId="77777777">
        <w:trPr>
          <w:jc w:val="center"/>
        </w:trPr>
        <w:tc>
          <w:tcPr>
            <w:tcW w:w="680" w:type="dxa"/>
          </w:tcPr>
          <w:p w14:paraId="1E6E3D12" w14:textId="77777777" w:rsidR="0021267D" w:rsidRDefault="00586C61">
            <w:r>
              <w:t>Q1</w:t>
            </w:r>
          </w:p>
        </w:tc>
        <w:tc>
          <w:tcPr>
            <w:tcW w:w="5102" w:type="dxa"/>
          </w:tcPr>
          <w:p w14:paraId="0629B083" w14:textId="77777777" w:rsidR="0021267D" w:rsidRDefault="00586C61">
            <w:r>
              <w:t>Critical operational failures are reported to the CEO/board immediately, without being polished or softened by middle management.</w:t>
            </w:r>
          </w:p>
        </w:tc>
        <w:tc>
          <w:tcPr>
            <w:tcW w:w="1984" w:type="dxa"/>
          </w:tcPr>
          <w:p w14:paraId="08654452" w14:textId="77777777" w:rsidR="0021267D" w:rsidRDefault="00586C61">
            <w:r>
              <w:t>Bad News Velocity</w:t>
            </w:r>
          </w:p>
        </w:tc>
        <w:tc>
          <w:tcPr>
            <w:tcW w:w="1701" w:type="dxa"/>
          </w:tcPr>
          <w:p w14:paraId="2FFAB024" w14:textId="77777777" w:rsidR="0021267D" w:rsidRDefault="00586C61">
            <w:r>
              <w:t>Iceberg Risk</w:t>
            </w:r>
          </w:p>
        </w:tc>
      </w:tr>
      <w:tr w:rsidR="0021267D" w14:paraId="1D7255A6" w14:textId="77777777">
        <w:trPr>
          <w:jc w:val="center"/>
        </w:trPr>
        <w:tc>
          <w:tcPr>
            <w:tcW w:w="680" w:type="dxa"/>
          </w:tcPr>
          <w:p w14:paraId="3624BAE8" w14:textId="77777777" w:rsidR="0021267D" w:rsidRDefault="00586C61">
            <w:r>
              <w:t>Q2</w:t>
            </w:r>
          </w:p>
        </w:tc>
        <w:tc>
          <w:tcPr>
            <w:tcW w:w="5102" w:type="dxa"/>
          </w:tcPr>
          <w:p w14:paraId="3A231EE3" w14:textId="77777777" w:rsidR="0021267D" w:rsidRDefault="00586C61">
            <w:r>
              <w:t>Our high-potential performers clearly understand how their daily work impacts the company's profitability, valuation and/or exit strategy.</w:t>
            </w:r>
          </w:p>
        </w:tc>
        <w:tc>
          <w:tcPr>
            <w:tcW w:w="1984" w:type="dxa"/>
          </w:tcPr>
          <w:p w14:paraId="7064C4AD" w14:textId="77777777" w:rsidR="0021267D" w:rsidRDefault="00586C61">
            <w:r>
              <w:t>Talent/Strategy Bridge</w:t>
            </w:r>
          </w:p>
        </w:tc>
        <w:tc>
          <w:tcPr>
            <w:tcW w:w="1701" w:type="dxa"/>
          </w:tcPr>
          <w:p w14:paraId="64DA155C" w14:textId="77777777" w:rsidR="0021267D" w:rsidRDefault="00586C61">
            <w:r>
              <w:t>Retention Risk</w:t>
            </w:r>
          </w:p>
        </w:tc>
      </w:tr>
      <w:tr w:rsidR="0021267D" w14:paraId="0F7CFD54" w14:textId="77777777">
        <w:trPr>
          <w:jc w:val="center"/>
        </w:trPr>
        <w:tc>
          <w:tcPr>
            <w:tcW w:w="680" w:type="dxa"/>
          </w:tcPr>
          <w:p w14:paraId="464C7202" w14:textId="77777777" w:rsidR="0021267D" w:rsidRDefault="00586C61">
            <w:r>
              <w:t>Q3</w:t>
            </w:r>
          </w:p>
        </w:tc>
        <w:tc>
          <w:tcPr>
            <w:tcW w:w="5102" w:type="dxa"/>
          </w:tcPr>
          <w:p w14:paraId="7DBE931C" w14:textId="77777777" w:rsidR="0021267D" w:rsidRDefault="00586C61">
            <w:r>
              <w:t>When a project fails, the focus is entirely on process improvement, not finger-pointing or blame.</w:t>
            </w:r>
          </w:p>
        </w:tc>
        <w:tc>
          <w:tcPr>
            <w:tcW w:w="1984" w:type="dxa"/>
          </w:tcPr>
          <w:p w14:paraId="131E97F4" w14:textId="77777777" w:rsidR="0021267D" w:rsidRDefault="00586C61">
            <w:r>
              <w:t>Post-Mortem Culture</w:t>
            </w:r>
          </w:p>
        </w:tc>
        <w:tc>
          <w:tcPr>
            <w:tcW w:w="1701" w:type="dxa"/>
          </w:tcPr>
          <w:p w14:paraId="17B82C02" w14:textId="77777777" w:rsidR="0021267D" w:rsidRDefault="00586C61">
            <w:r>
              <w:t>Cultural Fracture</w:t>
            </w:r>
          </w:p>
        </w:tc>
      </w:tr>
      <w:tr w:rsidR="0021267D" w14:paraId="5A9D8CBE" w14:textId="77777777">
        <w:trPr>
          <w:jc w:val="center"/>
        </w:trPr>
        <w:tc>
          <w:tcPr>
            <w:tcW w:w="680" w:type="dxa"/>
          </w:tcPr>
          <w:p w14:paraId="490F469F" w14:textId="77777777" w:rsidR="0021267D" w:rsidRDefault="00586C61">
            <w:r>
              <w:lastRenderedPageBreak/>
              <w:t>Q4</w:t>
            </w:r>
          </w:p>
        </w:tc>
        <w:tc>
          <w:tcPr>
            <w:tcW w:w="5102" w:type="dxa"/>
          </w:tcPr>
          <w:p w14:paraId="6A152A0F" w14:textId="77777777" w:rsidR="0021267D" w:rsidRDefault="00586C61">
            <w:r>
              <w:t>Disagreements between C-suite peers are resolved directly and professionally within 48 hours, without requiring CEO intervention.</w:t>
            </w:r>
          </w:p>
        </w:tc>
        <w:tc>
          <w:tcPr>
            <w:tcW w:w="1984" w:type="dxa"/>
          </w:tcPr>
          <w:p w14:paraId="48FB7BA8" w14:textId="77777777" w:rsidR="0021267D" w:rsidRDefault="00586C61">
            <w:r>
              <w:t>Conflict Resolution</w:t>
            </w:r>
          </w:p>
        </w:tc>
        <w:tc>
          <w:tcPr>
            <w:tcW w:w="1701" w:type="dxa"/>
          </w:tcPr>
          <w:p w14:paraId="72C3BFAF" w14:textId="77777777" w:rsidR="0021267D" w:rsidRDefault="00586C61">
            <w:r>
              <w:t>Leadership Friction</w:t>
            </w:r>
          </w:p>
        </w:tc>
      </w:tr>
      <w:tr w:rsidR="0021267D" w14:paraId="17CF26C7" w14:textId="77777777">
        <w:trPr>
          <w:jc w:val="center"/>
        </w:trPr>
        <w:tc>
          <w:tcPr>
            <w:tcW w:w="680" w:type="dxa"/>
          </w:tcPr>
          <w:p w14:paraId="692D2BB7" w14:textId="77777777" w:rsidR="0021267D" w:rsidRDefault="00586C61">
            <w:r>
              <w:t>Q5</w:t>
            </w:r>
          </w:p>
        </w:tc>
        <w:tc>
          <w:tcPr>
            <w:tcW w:w="5102" w:type="dxa"/>
          </w:tcPr>
          <w:p w14:paraId="04F2EB65" w14:textId="77777777" w:rsidR="0021267D" w:rsidRDefault="00586C61">
            <w:r>
              <w:t>Our leadership team actively develops successors and builds bench strength for critical roles.</w:t>
            </w:r>
          </w:p>
        </w:tc>
        <w:tc>
          <w:tcPr>
            <w:tcW w:w="1984" w:type="dxa"/>
          </w:tcPr>
          <w:p w14:paraId="763D21FC" w14:textId="77777777" w:rsidR="0021267D" w:rsidRDefault="00586C61">
            <w:r>
              <w:t>Succession Depth</w:t>
            </w:r>
          </w:p>
        </w:tc>
        <w:tc>
          <w:tcPr>
            <w:tcW w:w="1701" w:type="dxa"/>
          </w:tcPr>
          <w:p w14:paraId="224DA567" w14:textId="77777777" w:rsidR="0021267D" w:rsidRDefault="00586C61">
            <w:r>
              <w:t>Continuity Risk</w:t>
            </w:r>
          </w:p>
        </w:tc>
      </w:tr>
    </w:tbl>
    <w:p w14:paraId="010F6947" w14:textId="77777777" w:rsidR="0021267D" w:rsidRDefault="00586C61">
      <w:pPr>
        <w:pStyle w:val="Heading2"/>
      </w:pPr>
      <w:r>
        <w:rPr>
          <w:color w:val="3182CE"/>
        </w:rPr>
        <w:t>Head — Decision Discipline (Questions 6–10)</w:t>
      </w:r>
    </w:p>
    <w:p w14:paraId="4746791F" w14:textId="77777777" w:rsidR="0021267D" w:rsidRDefault="00586C61">
      <w:r>
        <w:t>Head measures the organizational capacity for strategic clarity, decision rights, systems scalability, and governance discipline. Each question maps to a specific enterprise risk.</w:t>
      </w:r>
    </w:p>
    <w:tbl>
      <w:tblPr>
        <w:tblStyle w:val="TableGrid"/>
        <w:tblW w:w="0" w:type="auto"/>
        <w:jc w:val="center"/>
        <w:tblLook w:val="04A0" w:firstRow="1" w:lastRow="0" w:firstColumn="1" w:lastColumn="0" w:noHBand="0" w:noVBand="1"/>
      </w:tblPr>
      <w:tblGrid>
        <w:gridCol w:w="680"/>
        <w:gridCol w:w="5102"/>
        <w:gridCol w:w="1984"/>
        <w:gridCol w:w="1701"/>
      </w:tblGrid>
      <w:tr w:rsidR="0021267D" w14:paraId="309AA1FD" w14:textId="77777777">
        <w:trPr>
          <w:jc w:val="center"/>
        </w:trPr>
        <w:tc>
          <w:tcPr>
            <w:tcW w:w="680" w:type="dxa"/>
            <w:shd w:val="clear" w:color="auto" w:fill="2B6CB0"/>
          </w:tcPr>
          <w:p w14:paraId="75A17A2B" w14:textId="77777777" w:rsidR="0021267D" w:rsidRDefault="00586C61">
            <w:r>
              <w:rPr>
                <w:b/>
                <w:color w:val="FFFFFF"/>
                <w:sz w:val="20"/>
              </w:rPr>
              <w:t>#</w:t>
            </w:r>
          </w:p>
        </w:tc>
        <w:tc>
          <w:tcPr>
            <w:tcW w:w="5102" w:type="dxa"/>
            <w:shd w:val="clear" w:color="auto" w:fill="2B6CB0"/>
          </w:tcPr>
          <w:p w14:paraId="4ED8BC1B" w14:textId="77777777" w:rsidR="0021267D" w:rsidRDefault="00586C61">
            <w:r>
              <w:rPr>
                <w:b/>
                <w:color w:val="FFFFFF"/>
                <w:sz w:val="20"/>
              </w:rPr>
              <w:t>Statement</w:t>
            </w:r>
          </w:p>
        </w:tc>
        <w:tc>
          <w:tcPr>
            <w:tcW w:w="1984" w:type="dxa"/>
            <w:shd w:val="clear" w:color="auto" w:fill="2B6CB0"/>
          </w:tcPr>
          <w:p w14:paraId="6BB534A4" w14:textId="77777777" w:rsidR="0021267D" w:rsidRDefault="00586C61">
            <w:r>
              <w:rPr>
                <w:b/>
                <w:color w:val="FFFFFF"/>
                <w:sz w:val="20"/>
              </w:rPr>
              <w:t>Risk Label</w:t>
            </w:r>
          </w:p>
        </w:tc>
        <w:tc>
          <w:tcPr>
            <w:tcW w:w="1701" w:type="dxa"/>
            <w:shd w:val="clear" w:color="auto" w:fill="2B6CB0"/>
          </w:tcPr>
          <w:p w14:paraId="21B179CE" w14:textId="77777777" w:rsidR="0021267D" w:rsidRDefault="00586C61">
            <w:r>
              <w:rPr>
                <w:b/>
                <w:color w:val="FFFFFF"/>
                <w:sz w:val="20"/>
              </w:rPr>
              <w:t>Risk Category</w:t>
            </w:r>
          </w:p>
        </w:tc>
      </w:tr>
      <w:tr w:rsidR="0021267D" w14:paraId="4E5F04C2" w14:textId="77777777">
        <w:trPr>
          <w:jc w:val="center"/>
        </w:trPr>
        <w:tc>
          <w:tcPr>
            <w:tcW w:w="680" w:type="dxa"/>
          </w:tcPr>
          <w:p w14:paraId="37452BB2" w14:textId="77777777" w:rsidR="0021267D" w:rsidRDefault="00586C61">
            <w:r>
              <w:t>Q6</w:t>
            </w:r>
          </w:p>
        </w:tc>
        <w:tc>
          <w:tcPr>
            <w:tcW w:w="5102" w:type="dxa"/>
          </w:tcPr>
          <w:p w14:paraId="73AA1BC2" w14:textId="77777777" w:rsidR="0021267D" w:rsidRDefault="00586C61">
            <w:r>
              <w:t>Every member of the C-suite would list the same top three strategic priorities for this quarter.</w:t>
            </w:r>
          </w:p>
        </w:tc>
        <w:tc>
          <w:tcPr>
            <w:tcW w:w="1984" w:type="dxa"/>
          </w:tcPr>
          <w:p w14:paraId="5FF7E859" w14:textId="77777777" w:rsidR="0021267D" w:rsidRDefault="00586C61">
            <w:r>
              <w:t>Strategic Alignment</w:t>
            </w:r>
          </w:p>
        </w:tc>
        <w:tc>
          <w:tcPr>
            <w:tcW w:w="1701" w:type="dxa"/>
          </w:tcPr>
          <w:p w14:paraId="4499765F" w14:textId="77777777" w:rsidR="0021267D" w:rsidRDefault="00586C61">
            <w:r>
              <w:t>Resource Waste</w:t>
            </w:r>
          </w:p>
        </w:tc>
      </w:tr>
      <w:tr w:rsidR="0021267D" w14:paraId="055D80FD" w14:textId="77777777">
        <w:trPr>
          <w:jc w:val="center"/>
        </w:trPr>
        <w:tc>
          <w:tcPr>
            <w:tcW w:w="680" w:type="dxa"/>
          </w:tcPr>
          <w:p w14:paraId="2E46760C" w14:textId="77777777" w:rsidR="0021267D" w:rsidRDefault="00586C61">
            <w:r>
              <w:t>Q7</w:t>
            </w:r>
          </w:p>
        </w:tc>
        <w:tc>
          <w:tcPr>
            <w:tcW w:w="5102" w:type="dxa"/>
          </w:tcPr>
          <w:p w14:paraId="602B6F97" w14:textId="77777777" w:rsidR="0021267D" w:rsidRDefault="00586C61">
            <w:r>
              <w:t>There is zero ambiguity about who has final decision authority on cross-functional initiatives like AI adoption or pricing changes.</w:t>
            </w:r>
          </w:p>
        </w:tc>
        <w:tc>
          <w:tcPr>
            <w:tcW w:w="1984" w:type="dxa"/>
          </w:tcPr>
          <w:p w14:paraId="7D64EDC3" w14:textId="77777777" w:rsidR="0021267D" w:rsidRDefault="00586C61">
            <w:r>
              <w:t>Decision Rights</w:t>
            </w:r>
          </w:p>
        </w:tc>
        <w:tc>
          <w:tcPr>
            <w:tcW w:w="1701" w:type="dxa"/>
          </w:tcPr>
          <w:p w14:paraId="24023FFD" w14:textId="77777777" w:rsidR="0021267D" w:rsidRDefault="00586C61">
            <w:r>
              <w:t>Decision Paralysis</w:t>
            </w:r>
          </w:p>
        </w:tc>
      </w:tr>
      <w:tr w:rsidR="0021267D" w14:paraId="16F705CD" w14:textId="77777777">
        <w:trPr>
          <w:jc w:val="center"/>
        </w:trPr>
        <w:tc>
          <w:tcPr>
            <w:tcW w:w="680" w:type="dxa"/>
          </w:tcPr>
          <w:p w14:paraId="6F2A2699" w14:textId="77777777" w:rsidR="0021267D" w:rsidRDefault="00586C61">
            <w:r>
              <w:t>Q8</w:t>
            </w:r>
          </w:p>
        </w:tc>
        <w:tc>
          <w:tcPr>
            <w:tcW w:w="5102" w:type="dxa"/>
          </w:tcPr>
          <w:p w14:paraId="3F17C0BB" w14:textId="77777777" w:rsidR="0021267D" w:rsidRDefault="00586C61">
            <w:r>
              <w:t>We have a formal, board-vetted policy for how employees use generative AI with proprietary company data.</w:t>
            </w:r>
          </w:p>
        </w:tc>
        <w:tc>
          <w:tcPr>
            <w:tcW w:w="1984" w:type="dxa"/>
          </w:tcPr>
          <w:p w14:paraId="0D49973C" w14:textId="77777777" w:rsidR="0021267D" w:rsidRDefault="00586C61">
            <w:r>
              <w:t>AI Governance</w:t>
            </w:r>
          </w:p>
        </w:tc>
        <w:tc>
          <w:tcPr>
            <w:tcW w:w="1701" w:type="dxa"/>
          </w:tcPr>
          <w:p w14:paraId="5B3B8F58" w14:textId="77777777" w:rsidR="0021267D" w:rsidRDefault="00586C61">
            <w:r>
              <w:t>Legal/IP Liability</w:t>
            </w:r>
          </w:p>
        </w:tc>
      </w:tr>
      <w:tr w:rsidR="0021267D" w14:paraId="554D616A" w14:textId="77777777">
        <w:trPr>
          <w:jc w:val="center"/>
        </w:trPr>
        <w:tc>
          <w:tcPr>
            <w:tcW w:w="680" w:type="dxa"/>
          </w:tcPr>
          <w:p w14:paraId="1DA6535B" w14:textId="77777777" w:rsidR="0021267D" w:rsidRDefault="00586C61">
            <w:r>
              <w:t>Q9</w:t>
            </w:r>
          </w:p>
        </w:tc>
        <w:tc>
          <w:tcPr>
            <w:tcW w:w="5102" w:type="dxa"/>
          </w:tcPr>
          <w:p w14:paraId="10D88149" w14:textId="77777777" w:rsidR="0021267D" w:rsidRDefault="00586C61">
            <w:r>
              <w:t>Our executive meetings are 80% future-facing strategic discussion and 20% status updates.</w:t>
            </w:r>
          </w:p>
        </w:tc>
        <w:tc>
          <w:tcPr>
            <w:tcW w:w="1984" w:type="dxa"/>
          </w:tcPr>
          <w:p w14:paraId="5CE47BF9" w14:textId="77777777" w:rsidR="0021267D" w:rsidRDefault="00586C61">
            <w:r>
              <w:t>Meeting ROI</w:t>
            </w:r>
          </w:p>
        </w:tc>
        <w:tc>
          <w:tcPr>
            <w:tcW w:w="1701" w:type="dxa"/>
          </w:tcPr>
          <w:p w14:paraId="4474F0F9" w14:textId="77777777" w:rsidR="0021267D" w:rsidRDefault="00586C61">
            <w:r>
              <w:t>Operational Drift</w:t>
            </w:r>
          </w:p>
        </w:tc>
      </w:tr>
      <w:tr w:rsidR="0021267D" w14:paraId="2DE3317A" w14:textId="77777777">
        <w:trPr>
          <w:jc w:val="center"/>
        </w:trPr>
        <w:tc>
          <w:tcPr>
            <w:tcW w:w="680" w:type="dxa"/>
          </w:tcPr>
          <w:p w14:paraId="149EFB00" w14:textId="77777777" w:rsidR="0021267D" w:rsidRDefault="00586C61">
            <w:r>
              <w:t>Q10</w:t>
            </w:r>
          </w:p>
        </w:tc>
        <w:tc>
          <w:tcPr>
            <w:tcW w:w="5102" w:type="dxa"/>
          </w:tcPr>
          <w:p w14:paraId="320FDA29" w14:textId="77777777" w:rsidR="0021267D" w:rsidRDefault="00586C61">
            <w:r>
              <w:t>Our current operating systems could handle a 2x increase in volume or headcount without the CEO working 80-hour weeks.</w:t>
            </w:r>
          </w:p>
        </w:tc>
        <w:tc>
          <w:tcPr>
            <w:tcW w:w="1984" w:type="dxa"/>
          </w:tcPr>
          <w:p w14:paraId="25312259" w14:textId="77777777" w:rsidR="0021267D" w:rsidRDefault="00586C61">
            <w:r>
              <w:t>Scale Readiness</w:t>
            </w:r>
          </w:p>
        </w:tc>
        <w:tc>
          <w:tcPr>
            <w:tcW w:w="1701" w:type="dxa"/>
          </w:tcPr>
          <w:p w14:paraId="68FF86CC" w14:textId="77777777" w:rsidR="0021267D" w:rsidRDefault="00586C61">
            <w:r>
              <w:t>Founder Bottleneck</w:t>
            </w:r>
          </w:p>
        </w:tc>
      </w:tr>
    </w:tbl>
    <w:p w14:paraId="7FEDE856" w14:textId="77777777" w:rsidR="0021267D" w:rsidRDefault="00586C61">
      <w:pPr>
        <w:pStyle w:val="Heading1"/>
      </w:pPr>
      <w:r>
        <w:t>4. Scoring Logic</w:t>
      </w:r>
    </w:p>
    <w:p w14:paraId="64F73555" w14:textId="77777777" w:rsidR="0021267D" w:rsidRDefault="00586C61">
      <w:pPr>
        <w:pStyle w:val="Heading2"/>
      </w:pPr>
      <w:r>
        <w:t>Raw Score Calculation</w:t>
      </w:r>
    </w:p>
    <w:p w14:paraId="7AC5F516" w14:textId="77777777" w:rsidR="0021267D" w:rsidRDefault="00586C61">
      <w:r>
        <w:t>Each dimension (Heart, Head) has 5 questions scored 1–5, yielding a raw score range of 5–25 per dimension.</w:t>
      </w:r>
    </w:p>
    <w:tbl>
      <w:tblPr>
        <w:tblStyle w:val="TableGrid"/>
        <w:tblW w:w="0" w:type="auto"/>
        <w:jc w:val="center"/>
        <w:tblLook w:val="04A0" w:firstRow="1" w:lastRow="0" w:firstColumn="1" w:lastColumn="0" w:noHBand="0" w:noVBand="1"/>
      </w:tblPr>
      <w:tblGrid>
        <w:gridCol w:w="2880"/>
        <w:gridCol w:w="2880"/>
        <w:gridCol w:w="2880"/>
      </w:tblGrid>
      <w:tr w:rsidR="0021267D" w14:paraId="0B7B1059" w14:textId="77777777">
        <w:trPr>
          <w:jc w:val="center"/>
        </w:trPr>
        <w:tc>
          <w:tcPr>
            <w:tcW w:w="2880" w:type="dxa"/>
            <w:shd w:val="clear" w:color="auto" w:fill="1A365D"/>
          </w:tcPr>
          <w:p w14:paraId="17584CD3" w14:textId="77777777" w:rsidR="0021267D" w:rsidRDefault="00586C61">
            <w:r>
              <w:rPr>
                <w:b/>
                <w:color w:val="FFFFFF"/>
                <w:sz w:val="20"/>
              </w:rPr>
              <w:t>Metric</w:t>
            </w:r>
          </w:p>
        </w:tc>
        <w:tc>
          <w:tcPr>
            <w:tcW w:w="2880" w:type="dxa"/>
            <w:shd w:val="clear" w:color="auto" w:fill="1A365D"/>
          </w:tcPr>
          <w:p w14:paraId="3187E9A2" w14:textId="77777777" w:rsidR="0021267D" w:rsidRDefault="00586C61">
            <w:r>
              <w:rPr>
                <w:b/>
                <w:color w:val="FFFFFF"/>
                <w:sz w:val="20"/>
              </w:rPr>
              <w:t>Formula</w:t>
            </w:r>
          </w:p>
        </w:tc>
        <w:tc>
          <w:tcPr>
            <w:tcW w:w="2880" w:type="dxa"/>
            <w:shd w:val="clear" w:color="auto" w:fill="1A365D"/>
          </w:tcPr>
          <w:p w14:paraId="461AC16B" w14:textId="77777777" w:rsidR="0021267D" w:rsidRDefault="00586C61">
            <w:r>
              <w:rPr>
                <w:b/>
                <w:color w:val="FFFFFF"/>
                <w:sz w:val="20"/>
              </w:rPr>
              <w:t>Range</w:t>
            </w:r>
          </w:p>
        </w:tc>
      </w:tr>
      <w:tr w:rsidR="0021267D" w14:paraId="1DDC1034" w14:textId="77777777">
        <w:trPr>
          <w:jc w:val="center"/>
        </w:trPr>
        <w:tc>
          <w:tcPr>
            <w:tcW w:w="2880" w:type="dxa"/>
          </w:tcPr>
          <w:p w14:paraId="0B2EDE15" w14:textId="77777777" w:rsidR="0021267D" w:rsidRDefault="00586C61">
            <w:r>
              <w:t>Heart Raw Score</w:t>
            </w:r>
          </w:p>
        </w:tc>
        <w:tc>
          <w:tcPr>
            <w:tcW w:w="2880" w:type="dxa"/>
          </w:tcPr>
          <w:p w14:paraId="200A8480" w14:textId="77777777" w:rsidR="0021267D" w:rsidRDefault="00586C61">
            <w:r>
              <w:t>Sum of Q1 + Q2 + Q3 + Q4 + Q5</w:t>
            </w:r>
          </w:p>
        </w:tc>
        <w:tc>
          <w:tcPr>
            <w:tcW w:w="2880" w:type="dxa"/>
          </w:tcPr>
          <w:p w14:paraId="4E89F72B" w14:textId="77777777" w:rsidR="0021267D" w:rsidRDefault="00586C61">
            <w:r>
              <w:t>5 – 25</w:t>
            </w:r>
          </w:p>
        </w:tc>
      </w:tr>
      <w:tr w:rsidR="0021267D" w14:paraId="7EFC6D00" w14:textId="77777777">
        <w:trPr>
          <w:jc w:val="center"/>
        </w:trPr>
        <w:tc>
          <w:tcPr>
            <w:tcW w:w="2880" w:type="dxa"/>
          </w:tcPr>
          <w:p w14:paraId="1E665DBB" w14:textId="77777777" w:rsidR="0021267D" w:rsidRDefault="00586C61">
            <w:r>
              <w:t>Head Raw Score</w:t>
            </w:r>
          </w:p>
        </w:tc>
        <w:tc>
          <w:tcPr>
            <w:tcW w:w="2880" w:type="dxa"/>
          </w:tcPr>
          <w:p w14:paraId="5826834F" w14:textId="77777777" w:rsidR="0021267D" w:rsidRDefault="00586C61">
            <w:r>
              <w:t>Sum of Q6 + Q7 + Q8 + Q9 + Q10</w:t>
            </w:r>
          </w:p>
        </w:tc>
        <w:tc>
          <w:tcPr>
            <w:tcW w:w="2880" w:type="dxa"/>
          </w:tcPr>
          <w:p w14:paraId="58884643" w14:textId="77777777" w:rsidR="0021267D" w:rsidRDefault="00586C61">
            <w:r>
              <w:t>5 – 25</w:t>
            </w:r>
          </w:p>
        </w:tc>
      </w:tr>
      <w:tr w:rsidR="0021267D" w14:paraId="4311165A" w14:textId="77777777">
        <w:trPr>
          <w:jc w:val="center"/>
        </w:trPr>
        <w:tc>
          <w:tcPr>
            <w:tcW w:w="2880" w:type="dxa"/>
          </w:tcPr>
          <w:p w14:paraId="34EE9216" w14:textId="77777777" w:rsidR="0021267D" w:rsidRDefault="00586C61">
            <w:r>
              <w:t>Total Score</w:t>
            </w:r>
          </w:p>
        </w:tc>
        <w:tc>
          <w:tcPr>
            <w:tcW w:w="2880" w:type="dxa"/>
          </w:tcPr>
          <w:p w14:paraId="3F671DD9" w14:textId="77777777" w:rsidR="0021267D" w:rsidRDefault="00586C61">
            <w:r>
              <w:t>Heart Raw + Head Raw</w:t>
            </w:r>
          </w:p>
        </w:tc>
        <w:tc>
          <w:tcPr>
            <w:tcW w:w="2880" w:type="dxa"/>
          </w:tcPr>
          <w:p w14:paraId="71F0EF16" w14:textId="77777777" w:rsidR="0021267D" w:rsidRDefault="00586C61">
            <w:r>
              <w:t>10 – 50</w:t>
            </w:r>
          </w:p>
        </w:tc>
      </w:tr>
    </w:tbl>
    <w:p w14:paraId="0193622D" w14:textId="77777777" w:rsidR="0021267D" w:rsidRDefault="00586C61">
      <w:pPr>
        <w:pStyle w:val="Heading2"/>
      </w:pPr>
      <w:r>
        <w:t>Percentage Conversion</w:t>
      </w:r>
    </w:p>
    <w:p w14:paraId="0E2A05E8" w14:textId="77777777" w:rsidR="0021267D" w:rsidRDefault="00586C61">
      <w:r>
        <w:t>Raw scores are converted to percentages for display and for profile threshold evaluation:</w:t>
      </w:r>
    </w:p>
    <w:p w14:paraId="7D31598A" w14:textId="77777777" w:rsidR="0021267D" w:rsidRDefault="00586C61">
      <w:r>
        <w:rPr>
          <w:b/>
        </w:rPr>
        <w:t>Heart % = round((Heart Raw Score / 25) × 100)</w:t>
      </w:r>
    </w:p>
    <w:p w14:paraId="6944FAAE" w14:textId="77777777" w:rsidR="0021267D" w:rsidRDefault="0021267D"/>
    <w:p w14:paraId="1651CAE4" w14:textId="77777777" w:rsidR="0021267D" w:rsidRDefault="00586C61">
      <w:r>
        <w:rPr>
          <w:b/>
        </w:rPr>
        <w:t>Head % = round((Head Raw Score / 25) × 100)</w:t>
      </w:r>
    </w:p>
    <w:p w14:paraId="5AE152F6" w14:textId="77777777" w:rsidR="0021267D" w:rsidRDefault="0021267D"/>
    <w:p w14:paraId="113881CF" w14:textId="77777777" w:rsidR="0021267D" w:rsidRDefault="00586C61">
      <w:r>
        <w:t>Example: A respondent scoring 18 on Heart questions → (18/25) × 100 = 72%. A respondent scoring 12 on Head questions → (12/25) × 100 = 48%.</w:t>
      </w:r>
    </w:p>
    <w:p w14:paraId="3FD89EE4" w14:textId="77777777" w:rsidR="0021267D" w:rsidRDefault="00586C61">
      <w:pPr>
        <w:pStyle w:val="Heading1"/>
      </w:pPr>
      <w:r>
        <w:t>5. Zone Classification</w:t>
      </w:r>
    </w:p>
    <w:p w14:paraId="74546F9C" w14:textId="77777777" w:rsidR="0021267D" w:rsidRDefault="00586C61">
      <w:r>
        <w:t>The Total Score (out of 50) determines which of three risk zones the respondent falls into. Within each zone, Heart and Head percentages determine the specific profile variant.</w:t>
      </w:r>
    </w:p>
    <w:p w14:paraId="664AAB41" w14:textId="77777777" w:rsidR="0021267D" w:rsidRDefault="00586C61">
      <w:pPr>
        <w:pStyle w:val="Heading2"/>
      </w:pPr>
      <w:r>
        <w:t>Zone Thresholds</w:t>
      </w:r>
    </w:p>
    <w:tbl>
      <w:tblPr>
        <w:tblStyle w:val="TableGrid"/>
        <w:tblW w:w="0" w:type="auto"/>
        <w:jc w:val="center"/>
        <w:tblLook w:val="04A0" w:firstRow="1" w:lastRow="0" w:firstColumn="1" w:lastColumn="0" w:noHBand="0" w:noVBand="1"/>
      </w:tblPr>
      <w:tblGrid>
        <w:gridCol w:w="2160"/>
        <w:gridCol w:w="2160"/>
        <w:gridCol w:w="2160"/>
        <w:gridCol w:w="2160"/>
      </w:tblGrid>
      <w:tr w:rsidR="0021267D" w14:paraId="08ECED25" w14:textId="77777777">
        <w:trPr>
          <w:jc w:val="center"/>
        </w:trPr>
        <w:tc>
          <w:tcPr>
            <w:tcW w:w="2160" w:type="dxa"/>
            <w:shd w:val="clear" w:color="auto" w:fill="1A365D"/>
          </w:tcPr>
          <w:p w14:paraId="5998D8EB" w14:textId="77777777" w:rsidR="0021267D" w:rsidRDefault="00586C61">
            <w:r>
              <w:rPr>
                <w:b/>
                <w:color w:val="FFFFFF"/>
                <w:sz w:val="20"/>
              </w:rPr>
              <w:t>Zone</w:t>
            </w:r>
          </w:p>
        </w:tc>
        <w:tc>
          <w:tcPr>
            <w:tcW w:w="2160" w:type="dxa"/>
            <w:shd w:val="clear" w:color="auto" w:fill="1A365D"/>
          </w:tcPr>
          <w:p w14:paraId="57C69652" w14:textId="77777777" w:rsidR="0021267D" w:rsidRDefault="00586C61">
            <w:r>
              <w:rPr>
                <w:b/>
                <w:color w:val="FFFFFF"/>
                <w:sz w:val="20"/>
              </w:rPr>
              <w:t>Total Score</w:t>
            </w:r>
          </w:p>
        </w:tc>
        <w:tc>
          <w:tcPr>
            <w:tcW w:w="2160" w:type="dxa"/>
            <w:shd w:val="clear" w:color="auto" w:fill="1A365D"/>
          </w:tcPr>
          <w:p w14:paraId="7881B7A7" w14:textId="77777777" w:rsidR="0021267D" w:rsidRDefault="00586C61">
            <w:r>
              <w:rPr>
                <w:b/>
                <w:color w:val="FFFFFF"/>
                <w:sz w:val="20"/>
              </w:rPr>
              <w:t>Percentage Equivalent</w:t>
            </w:r>
          </w:p>
        </w:tc>
        <w:tc>
          <w:tcPr>
            <w:tcW w:w="2160" w:type="dxa"/>
            <w:shd w:val="clear" w:color="auto" w:fill="1A365D"/>
          </w:tcPr>
          <w:p w14:paraId="236F8924" w14:textId="77777777" w:rsidR="0021267D" w:rsidRDefault="00586C61">
            <w:r>
              <w:rPr>
                <w:b/>
                <w:color w:val="FFFFFF"/>
                <w:sz w:val="20"/>
              </w:rPr>
              <w:t>Risk Level</w:t>
            </w:r>
          </w:p>
        </w:tc>
      </w:tr>
      <w:tr w:rsidR="0021267D" w14:paraId="0AF3B603" w14:textId="77777777">
        <w:trPr>
          <w:jc w:val="center"/>
        </w:trPr>
        <w:tc>
          <w:tcPr>
            <w:tcW w:w="2160" w:type="dxa"/>
          </w:tcPr>
          <w:p w14:paraId="0452475D" w14:textId="77777777" w:rsidR="0021267D" w:rsidRDefault="00586C61">
            <w:r>
              <w:t>High-Performance Zone</w:t>
            </w:r>
          </w:p>
        </w:tc>
        <w:tc>
          <w:tcPr>
            <w:tcW w:w="2160" w:type="dxa"/>
          </w:tcPr>
          <w:p w14:paraId="6388609F" w14:textId="77777777" w:rsidR="0021267D" w:rsidRDefault="00586C61">
            <w:r>
              <w:t>40 – 50</w:t>
            </w:r>
          </w:p>
        </w:tc>
        <w:tc>
          <w:tcPr>
            <w:tcW w:w="2160" w:type="dxa"/>
          </w:tcPr>
          <w:p w14:paraId="01EFA98E" w14:textId="77777777" w:rsidR="0021267D" w:rsidRDefault="00586C61">
            <w:r>
              <w:t>80 – 100%</w:t>
            </w:r>
          </w:p>
        </w:tc>
        <w:tc>
          <w:tcPr>
            <w:tcW w:w="2160" w:type="dxa"/>
          </w:tcPr>
          <w:p w14:paraId="62484E60" w14:textId="77777777" w:rsidR="0021267D" w:rsidRDefault="00586C61">
            <w:r>
              <w:t>Low (complacency risk)</w:t>
            </w:r>
          </w:p>
        </w:tc>
      </w:tr>
      <w:tr w:rsidR="0021267D" w14:paraId="37028BA4" w14:textId="77777777">
        <w:trPr>
          <w:jc w:val="center"/>
        </w:trPr>
        <w:tc>
          <w:tcPr>
            <w:tcW w:w="2160" w:type="dxa"/>
          </w:tcPr>
          <w:p w14:paraId="429A423E" w14:textId="77777777" w:rsidR="0021267D" w:rsidRDefault="00586C61">
            <w:r>
              <w:t>Friction Zone</w:t>
            </w:r>
          </w:p>
        </w:tc>
        <w:tc>
          <w:tcPr>
            <w:tcW w:w="2160" w:type="dxa"/>
          </w:tcPr>
          <w:p w14:paraId="32EC245C" w14:textId="77777777" w:rsidR="0021267D" w:rsidRDefault="00586C61">
            <w:r>
              <w:t>25 – 39</w:t>
            </w:r>
          </w:p>
        </w:tc>
        <w:tc>
          <w:tcPr>
            <w:tcW w:w="2160" w:type="dxa"/>
          </w:tcPr>
          <w:p w14:paraId="283B9D1D" w14:textId="77777777" w:rsidR="0021267D" w:rsidRDefault="00586C61">
            <w:r>
              <w:t>50 – 79%</w:t>
            </w:r>
          </w:p>
        </w:tc>
        <w:tc>
          <w:tcPr>
            <w:tcW w:w="2160" w:type="dxa"/>
          </w:tcPr>
          <w:p w14:paraId="12072426" w14:textId="77777777" w:rsidR="0021267D" w:rsidRDefault="00586C61">
            <w:r>
              <w:t>Moderate (hidden EBITDA tax)</w:t>
            </w:r>
          </w:p>
        </w:tc>
      </w:tr>
      <w:tr w:rsidR="0021267D" w14:paraId="7911F884" w14:textId="77777777">
        <w:trPr>
          <w:jc w:val="center"/>
        </w:trPr>
        <w:tc>
          <w:tcPr>
            <w:tcW w:w="2160" w:type="dxa"/>
          </w:tcPr>
          <w:p w14:paraId="77B3D124" w14:textId="77777777" w:rsidR="0021267D" w:rsidRDefault="00586C61">
            <w:r>
              <w:t>Fracture Zone</w:t>
            </w:r>
          </w:p>
        </w:tc>
        <w:tc>
          <w:tcPr>
            <w:tcW w:w="2160" w:type="dxa"/>
          </w:tcPr>
          <w:p w14:paraId="486B459E" w14:textId="77777777" w:rsidR="0021267D" w:rsidRDefault="00586C61">
            <w:r>
              <w:t>10 – 24</w:t>
            </w:r>
          </w:p>
        </w:tc>
        <w:tc>
          <w:tcPr>
            <w:tcW w:w="2160" w:type="dxa"/>
          </w:tcPr>
          <w:p w14:paraId="565A9BD5" w14:textId="77777777" w:rsidR="0021267D" w:rsidRDefault="00586C61">
            <w:r>
              <w:t>20 – 49%</w:t>
            </w:r>
          </w:p>
        </w:tc>
        <w:tc>
          <w:tcPr>
            <w:tcW w:w="2160" w:type="dxa"/>
          </w:tcPr>
          <w:p w14:paraId="6D19279F" w14:textId="77777777" w:rsidR="0021267D" w:rsidRDefault="00586C61">
            <w:r>
              <w:t>High (breakdown imminent)</w:t>
            </w:r>
          </w:p>
        </w:tc>
      </w:tr>
    </w:tbl>
    <w:p w14:paraId="4177E699" w14:textId="77777777" w:rsidR="0021267D" w:rsidRDefault="00586C61">
      <w:pPr>
        <w:pStyle w:val="Heading1"/>
      </w:pPr>
      <w:r>
        <w:t>6. Profile Variants &amp; Decision Tree</w:t>
      </w:r>
    </w:p>
    <w:p w14:paraId="2FD66528" w14:textId="77777777" w:rsidR="0021267D" w:rsidRDefault="00586C61">
      <w:r>
        <w:t>Within each zone, the Heart % and Head % values determine the specific profile variant. The threshold for "strong" in a dimension is ≥ 60%.</w:t>
      </w:r>
    </w:p>
    <w:p w14:paraId="4EF386BF" w14:textId="77777777" w:rsidR="0021267D" w:rsidRDefault="00586C61">
      <w:pPr>
        <w:pStyle w:val="Heading2"/>
      </w:pPr>
      <w:r>
        <w:t>Decision Logic</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21267D" w14:paraId="0655FD9A" w14:textId="77777777">
        <w:trPr>
          <w:jc w:val="center"/>
        </w:trPr>
        <w:tc>
          <w:tcPr>
            <w:tcW w:w="1728" w:type="dxa"/>
            <w:shd w:val="clear" w:color="auto" w:fill="1A365D"/>
          </w:tcPr>
          <w:p w14:paraId="6F8537B5" w14:textId="77777777" w:rsidR="0021267D" w:rsidRDefault="00586C61">
            <w:r>
              <w:rPr>
                <w:b/>
                <w:color w:val="FFFFFF"/>
                <w:sz w:val="20"/>
              </w:rPr>
              <w:t>Zone Gate</w:t>
            </w:r>
          </w:p>
        </w:tc>
        <w:tc>
          <w:tcPr>
            <w:tcW w:w="1728" w:type="dxa"/>
            <w:shd w:val="clear" w:color="auto" w:fill="1A365D"/>
          </w:tcPr>
          <w:p w14:paraId="64B7114A" w14:textId="77777777" w:rsidR="0021267D" w:rsidRDefault="00586C61">
            <w:r>
              <w:rPr>
                <w:b/>
                <w:color w:val="FFFFFF"/>
                <w:sz w:val="20"/>
              </w:rPr>
              <w:t>Heart %</w:t>
            </w:r>
          </w:p>
        </w:tc>
        <w:tc>
          <w:tcPr>
            <w:tcW w:w="1728" w:type="dxa"/>
            <w:shd w:val="clear" w:color="auto" w:fill="1A365D"/>
          </w:tcPr>
          <w:p w14:paraId="5E1F2B82" w14:textId="77777777" w:rsidR="0021267D" w:rsidRDefault="00586C61">
            <w:r>
              <w:rPr>
                <w:b/>
                <w:color w:val="FFFFFF"/>
                <w:sz w:val="20"/>
              </w:rPr>
              <w:t>Head %</w:t>
            </w:r>
          </w:p>
        </w:tc>
        <w:tc>
          <w:tcPr>
            <w:tcW w:w="1728" w:type="dxa"/>
            <w:shd w:val="clear" w:color="auto" w:fill="1A365D"/>
          </w:tcPr>
          <w:p w14:paraId="6CD4FC15" w14:textId="77777777" w:rsidR="0021267D" w:rsidRDefault="00586C61">
            <w:r>
              <w:rPr>
                <w:b/>
                <w:color w:val="FFFFFF"/>
                <w:sz w:val="20"/>
              </w:rPr>
              <w:t>Profile Type</w:t>
            </w:r>
          </w:p>
        </w:tc>
        <w:tc>
          <w:tcPr>
            <w:tcW w:w="1728" w:type="dxa"/>
            <w:shd w:val="clear" w:color="auto" w:fill="1A365D"/>
          </w:tcPr>
          <w:p w14:paraId="41D79403" w14:textId="77777777" w:rsidR="0021267D" w:rsidRDefault="00586C61">
            <w:r>
              <w:rPr>
                <w:b/>
                <w:color w:val="FFFFFF"/>
                <w:sz w:val="20"/>
              </w:rPr>
              <w:t>Count</w:t>
            </w:r>
          </w:p>
        </w:tc>
      </w:tr>
      <w:tr w:rsidR="0021267D" w14:paraId="7D481B49" w14:textId="77777777">
        <w:trPr>
          <w:jc w:val="center"/>
        </w:trPr>
        <w:tc>
          <w:tcPr>
            <w:tcW w:w="1728" w:type="dxa"/>
          </w:tcPr>
          <w:p w14:paraId="2BEEAD80" w14:textId="77777777" w:rsidR="0021267D" w:rsidRDefault="00586C61">
            <w:r>
              <w:t>Total ≥ 40</w:t>
            </w:r>
          </w:p>
        </w:tc>
        <w:tc>
          <w:tcPr>
            <w:tcW w:w="1728" w:type="dxa"/>
          </w:tcPr>
          <w:p w14:paraId="7E82D5F2" w14:textId="77777777" w:rsidR="0021267D" w:rsidRDefault="00586C61">
            <w:r>
              <w:t>≥ 60%</w:t>
            </w:r>
          </w:p>
        </w:tc>
        <w:tc>
          <w:tcPr>
            <w:tcW w:w="1728" w:type="dxa"/>
          </w:tcPr>
          <w:p w14:paraId="7C56ABEE" w14:textId="77777777" w:rsidR="0021267D" w:rsidRDefault="00586C61">
            <w:r>
              <w:t>≥ 60%</w:t>
            </w:r>
          </w:p>
        </w:tc>
        <w:tc>
          <w:tcPr>
            <w:tcW w:w="1728" w:type="dxa"/>
          </w:tcPr>
          <w:p w14:paraId="240ED5F4" w14:textId="77777777" w:rsidR="0021267D" w:rsidRDefault="00586C61">
            <w:r>
              <w:t>High-Performance Zone (Balanced)</w:t>
            </w:r>
          </w:p>
        </w:tc>
        <w:tc>
          <w:tcPr>
            <w:tcW w:w="1728" w:type="dxa"/>
          </w:tcPr>
          <w:p w14:paraId="6832BB4B" w14:textId="77777777" w:rsidR="0021267D" w:rsidRDefault="00586C61">
            <w:r>
              <w:t>1</w:t>
            </w:r>
          </w:p>
        </w:tc>
      </w:tr>
      <w:tr w:rsidR="0021267D" w14:paraId="34CCC37A" w14:textId="77777777">
        <w:trPr>
          <w:jc w:val="center"/>
        </w:trPr>
        <w:tc>
          <w:tcPr>
            <w:tcW w:w="1728" w:type="dxa"/>
          </w:tcPr>
          <w:p w14:paraId="524BC710" w14:textId="77777777" w:rsidR="0021267D" w:rsidRDefault="00586C61">
            <w:r>
              <w:t>Total ≥ 40</w:t>
            </w:r>
          </w:p>
        </w:tc>
        <w:tc>
          <w:tcPr>
            <w:tcW w:w="1728" w:type="dxa"/>
          </w:tcPr>
          <w:p w14:paraId="4020A148" w14:textId="77777777" w:rsidR="0021267D" w:rsidRDefault="00586C61">
            <w:r>
              <w:t>≥ 60%</w:t>
            </w:r>
          </w:p>
        </w:tc>
        <w:tc>
          <w:tcPr>
            <w:tcW w:w="1728" w:type="dxa"/>
          </w:tcPr>
          <w:p w14:paraId="3ED81349" w14:textId="77777777" w:rsidR="0021267D" w:rsidRDefault="00586C61">
            <w:r>
              <w:t>&lt; 60%</w:t>
            </w:r>
          </w:p>
        </w:tc>
        <w:tc>
          <w:tcPr>
            <w:tcW w:w="1728" w:type="dxa"/>
          </w:tcPr>
          <w:p w14:paraId="02689FFB" w14:textId="77777777" w:rsidR="0021267D" w:rsidRDefault="00586C61">
            <w:r>
              <w:t>High-Performance Zone — Heart-Heavy</w:t>
            </w:r>
          </w:p>
        </w:tc>
        <w:tc>
          <w:tcPr>
            <w:tcW w:w="1728" w:type="dxa"/>
          </w:tcPr>
          <w:p w14:paraId="02CE061A" w14:textId="77777777" w:rsidR="0021267D" w:rsidRDefault="00586C61">
            <w:r>
              <w:t>2</w:t>
            </w:r>
          </w:p>
        </w:tc>
      </w:tr>
      <w:tr w:rsidR="0021267D" w14:paraId="6D371DA4" w14:textId="77777777">
        <w:trPr>
          <w:jc w:val="center"/>
        </w:trPr>
        <w:tc>
          <w:tcPr>
            <w:tcW w:w="1728" w:type="dxa"/>
          </w:tcPr>
          <w:p w14:paraId="2E73FA5B" w14:textId="77777777" w:rsidR="0021267D" w:rsidRDefault="00586C61">
            <w:r>
              <w:t>Total ≥ 40</w:t>
            </w:r>
          </w:p>
        </w:tc>
        <w:tc>
          <w:tcPr>
            <w:tcW w:w="1728" w:type="dxa"/>
          </w:tcPr>
          <w:p w14:paraId="32583B7E" w14:textId="77777777" w:rsidR="0021267D" w:rsidRDefault="00586C61">
            <w:r>
              <w:t>&lt; 60%</w:t>
            </w:r>
          </w:p>
        </w:tc>
        <w:tc>
          <w:tcPr>
            <w:tcW w:w="1728" w:type="dxa"/>
          </w:tcPr>
          <w:p w14:paraId="7DEF20B8" w14:textId="77777777" w:rsidR="0021267D" w:rsidRDefault="00586C61">
            <w:r>
              <w:t>(any)</w:t>
            </w:r>
          </w:p>
        </w:tc>
        <w:tc>
          <w:tcPr>
            <w:tcW w:w="1728" w:type="dxa"/>
          </w:tcPr>
          <w:p w14:paraId="59C72BC7" w14:textId="77777777" w:rsidR="0021267D" w:rsidRDefault="00586C61">
            <w:r>
              <w:t>High-Performance Zone — Head-Heavy</w:t>
            </w:r>
          </w:p>
        </w:tc>
        <w:tc>
          <w:tcPr>
            <w:tcW w:w="1728" w:type="dxa"/>
          </w:tcPr>
          <w:p w14:paraId="48E751BA" w14:textId="77777777" w:rsidR="0021267D" w:rsidRDefault="00586C61">
            <w:r>
              <w:t>3</w:t>
            </w:r>
          </w:p>
        </w:tc>
      </w:tr>
      <w:tr w:rsidR="0021267D" w14:paraId="0F696E01" w14:textId="77777777">
        <w:trPr>
          <w:jc w:val="center"/>
        </w:trPr>
        <w:tc>
          <w:tcPr>
            <w:tcW w:w="1728" w:type="dxa"/>
          </w:tcPr>
          <w:p w14:paraId="76790AF2" w14:textId="77777777" w:rsidR="0021267D" w:rsidRDefault="00586C61">
            <w:r>
              <w:t>Total 25–39</w:t>
            </w:r>
          </w:p>
        </w:tc>
        <w:tc>
          <w:tcPr>
            <w:tcW w:w="1728" w:type="dxa"/>
          </w:tcPr>
          <w:p w14:paraId="1CA5D52F" w14:textId="77777777" w:rsidR="0021267D" w:rsidRDefault="00586C61">
            <w:r>
              <w:t>≥ 60%</w:t>
            </w:r>
          </w:p>
        </w:tc>
        <w:tc>
          <w:tcPr>
            <w:tcW w:w="1728" w:type="dxa"/>
          </w:tcPr>
          <w:p w14:paraId="20F03BE0" w14:textId="77777777" w:rsidR="0021267D" w:rsidRDefault="00586C61">
            <w:r>
              <w:t>&lt; 60%</w:t>
            </w:r>
          </w:p>
        </w:tc>
        <w:tc>
          <w:tcPr>
            <w:tcW w:w="1728" w:type="dxa"/>
          </w:tcPr>
          <w:p w14:paraId="3B35C503" w14:textId="77777777" w:rsidR="0021267D" w:rsidRDefault="00586C61">
            <w:r>
              <w:t>Friction Zone — Culture Strong, Systems Weak</w:t>
            </w:r>
          </w:p>
        </w:tc>
        <w:tc>
          <w:tcPr>
            <w:tcW w:w="1728" w:type="dxa"/>
          </w:tcPr>
          <w:p w14:paraId="18D3C641" w14:textId="77777777" w:rsidR="0021267D" w:rsidRDefault="00586C61">
            <w:r>
              <w:t>4</w:t>
            </w:r>
          </w:p>
        </w:tc>
      </w:tr>
      <w:tr w:rsidR="0021267D" w14:paraId="327A1FF9" w14:textId="77777777">
        <w:trPr>
          <w:jc w:val="center"/>
        </w:trPr>
        <w:tc>
          <w:tcPr>
            <w:tcW w:w="1728" w:type="dxa"/>
          </w:tcPr>
          <w:p w14:paraId="5AADCD4A" w14:textId="77777777" w:rsidR="0021267D" w:rsidRDefault="00586C61">
            <w:r>
              <w:t>Total 25–39</w:t>
            </w:r>
          </w:p>
        </w:tc>
        <w:tc>
          <w:tcPr>
            <w:tcW w:w="1728" w:type="dxa"/>
          </w:tcPr>
          <w:p w14:paraId="58A9812C" w14:textId="77777777" w:rsidR="0021267D" w:rsidRDefault="00586C61">
            <w:r>
              <w:t>&lt; 60%</w:t>
            </w:r>
          </w:p>
        </w:tc>
        <w:tc>
          <w:tcPr>
            <w:tcW w:w="1728" w:type="dxa"/>
          </w:tcPr>
          <w:p w14:paraId="79CD6766" w14:textId="77777777" w:rsidR="0021267D" w:rsidRDefault="00586C61">
            <w:r>
              <w:t>≥ 60%</w:t>
            </w:r>
          </w:p>
        </w:tc>
        <w:tc>
          <w:tcPr>
            <w:tcW w:w="1728" w:type="dxa"/>
          </w:tcPr>
          <w:p w14:paraId="58049BE7" w14:textId="77777777" w:rsidR="0021267D" w:rsidRDefault="00586C61">
            <w:r>
              <w:t>Friction Zone — Systems Strong, Culture Fragile</w:t>
            </w:r>
          </w:p>
        </w:tc>
        <w:tc>
          <w:tcPr>
            <w:tcW w:w="1728" w:type="dxa"/>
          </w:tcPr>
          <w:p w14:paraId="43DDE3D4" w14:textId="77777777" w:rsidR="0021267D" w:rsidRDefault="00586C61">
            <w:r>
              <w:t>5</w:t>
            </w:r>
          </w:p>
        </w:tc>
      </w:tr>
      <w:tr w:rsidR="0021267D" w14:paraId="12396F7D" w14:textId="77777777">
        <w:trPr>
          <w:jc w:val="center"/>
        </w:trPr>
        <w:tc>
          <w:tcPr>
            <w:tcW w:w="1728" w:type="dxa"/>
          </w:tcPr>
          <w:p w14:paraId="122952C6" w14:textId="77777777" w:rsidR="0021267D" w:rsidRDefault="00586C61">
            <w:r>
              <w:t>Total 25–39</w:t>
            </w:r>
          </w:p>
        </w:tc>
        <w:tc>
          <w:tcPr>
            <w:tcW w:w="1728" w:type="dxa"/>
          </w:tcPr>
          <w:p w14:paraId="56593C10" w14:textId="77777777" w:rsidR="0021267D" w:rsidRDefault="00586C61">
            <w:r>
              <w:t>&lt; 60%</w:t>
            </w:r>
          </w:p>
        </w:tc>
        <w:tc>
          <w:tcPr>
            <w:tcW w:w="1728" w:type="dxa"/>
          </w:tcPr>
          <w:p w14:paraId="38620C40" w14:textId="77777777" w:rsidR="0021267D" w:rsidRDefault="00586C61">
            <w:r>
              <w:t>&lt; 60%</w:t>
            </w:r>
          </w:p>
        </w:tc>
        <w:tc>
          <w:tcPr>
            <w:tcW w:w="1728" w:type="dxa"/>
          </w:tcPr>
          <w:p w14:paraId="247CD64F" w14:textId="77777777" w:rsidR="0021267D" w:rsidRDefault="00586C61">
            <w:r>
              <w:t>Friction Zone (General)</w:t>
            </w:r>
          </w:p>
        </w:tc>
        <w:tc>
          <w:tcPr>
            <w:tcW w:w="1728" w:type="dxa"/>
          </w:tcPr>
          <w:p w14:paraId="64364D1E" w14:textId="77777777" w:rsidR="0021267D" w:rsidRDefault="00586C61">
            <w:r>
              <w:t>6</w:t>
            </w:r>
          </w:p>
        </w:tc>
      </w:tr>
      <w:tr w:rsidR="0021267D" w14:paraId="78349105" w14:textId="77777777">
        <w:trPr>
          <w:jc w:val="center"/>
        </w:trPr>
        <w:tc>
          <w:tcPr>
            <w:tcW w:w="1728" w:type="dxa"/>
          </w:tcPr>
          <w:p w14:paraId="4076BDFD" w14:textId="77777777" w:rsidR="0021267D" w:rsidRDefault="00586C61">
            <w:r>
              <w:t>Total &lt; 25</w:t>
            </w:r>
          </w:p>
        </w:tc>
        <w:tc>
          <w:tcPr>
            <w:tcW w:w="1728" w:type="dxa"/>
          </w:tcPr>
          <w:p w14:paraId="266379DD" w14:textId="77777777" w:rsidR="0021267D" w:rsidRDefault="00586C61">
            <w:r>
              <w:t>(any)</w:t>
            </w:r>
          </w:p>
        </w:tc>
        <w:tc>
          <w:tcPr>
            <w:tcW w:w="1728" w:type="dxa"/>
          </w:tcPr>
          <w:p w14:paraId="5146DCCA" w14:textId="77777777" w:rsidR="0021267D" w:rsidRDefault="00586C61">
            <w:r>
              <w:t>(any)</w:t>
            </w:r>
          </w:p>
        </w:tc>
        <w:tc>
          <w:tcPr>
            <w:tcW w:w="1728" w:type="dxa"/>
          </w:tcPr>
          <w:p w14:paraId="2691127E" w14:textId="77777777" w:rsidR="0021267D" w:rsidRDefault="00586C61">
            <w:r>
              <w:t>Fracture Zone</w:t>
            </w:r>
          </w:p>
        </w:tc>
        <w:tc>
          <w:tcPr>
            <w:tcW w:w="1728" w:type="dxa"/>
          </w:tcPr>
          <w:p w14:paraId="267F2ED6" w14:textId="77777777" w:rsidR="0021267D" w:rsidRDefault="00586C61">
            <w:r>
              <w:t>7</w:t>
            </w:r>
          </w:p>
        </w:tc>
      </w:tr>
    </w:tbl>
    <w:p w14:paraId="13AC5F63" w14:textId="77777777" w:rsidR="0021267D" w:rsidRDefault="0021267D"/>
    <w:p w14:paraId="56D40219" w14:textId="77777777" w:rsidR="0021267D" w:rsidRDefault="00586C61">
      <w:r>
        <w:rPr>
          <w:b/>
        </w:rPr>
        <w:t xml:space="preserve">Note: </w:t>
      </w:r>
      <w:r>
        <w:t>The decision tree evaluates zone first (Total Score), then dimension balance (Heart % vs. Head %). In the High-Performance Zone, if Heart &lt; 60% the profile defaults to Head-Heavy regardless of Head %, because the code checks Heart ≥ 60 &amp;&amp; Head ≥ 60 first, then Heart ≥ 60, then falls through to Head-Heavy.</w:t>
      </w:r>
    </w:p>
    <w:p w14:paraId="1E616E92" w14:textId="77777777" w:rsidR="0021267D" w:rsidRDefault="00586C61">
      <w:pPr>
        <w:pStyle w:val="Heading1"/>
      </w:pPr>
      <w:r>
        <w:t>7. Profile Descriptions</w:t>
      </w:r>
    </w:p>
    <w:p w14:paraId="1ADBA9B0" w14:textId="77777777" w:rsidR="0021267D" w:rsidRDefault="00586C61">
      <w:r>
        <w:t>Each profile variant includes a narrative insight paragraph displayed to the respondent. These are the exact texts used in the assessment tool.</w:t>
      </w:r>
    </w:p>
    <w:p w14:paraId="780985D3" w14:textId="77777777" w:rsidR="0021267D" w:rsidRDefault="00586C61">
      <w:pPr>
        <w:pStyle w:val="Heading2"/>
      </w:pPr>
      <w:r>
        <w:t>High-Performance Zone (Balanced)</w:t>
      </w:r>
    </w:p>
    <w:p w14:paraId="205FD508" w14:textId="77777777" w:rsidR="0021267D" w:rsidRDefault="00586C61">
      <w:r>
        <w:rPr>
          <w:b/>
          <w:color w:val="1A365D"/>
        </w:rPr>
        <w:t xml:space="preserve">Condition: </w:t>
      </w:r>
      <w:r>
        <w:t>Total ≥ 40, Heart ≥ 60%, Head ≥ 60%</w:t>
      </w:r>
    </w:p>
    <w:p w14:paraId="177C649B" w14:textId="77777777" w:rsidR="0021267D" w:rsidRDefault="00586C61">
      <w:r>
        <w:rPr>
          <w:b/>
          <w:color w:val="1A365D"/>
        </w:rPr>
        <w:t xml:space="preserve">Insight Text: </w:t>
      </w:r>
      <w:r>
        <w:t>"Disciplined alignment across both dimensions. Your organization shows strong execution transparency and decision discipline. Your risk is complacency — this balance is hard-won and easy to lose during rapid growth, leadership transitions, or market disruption. Protect what you've built by stress-testing your systems against a 2x scale scenario."</w:t>
      </w:r>
    </w:p>
    <w:p w14:paraId="1A2C59D7" w14:textId="77777777" w:rsidR="0021267D" w:rsidRDefault="0021267D"/>
    <w:p w14:paraId="327F442E" w14:textId="77777777" w:rsidR="0021267D" w:rsidRDefault="00586C61">
      <w:pPr>
        <w:pStyle w:val="Heading2"/>
      </w:pPr>
      <w:r>
        <w:t>High-Performance Zone — Heart-Heavy</w:t>
      </w:r>
    </w:p>
    <w:p w14:paraId="57675F98" w14:textId="77777777" w:rsidR="0021267D" w:rsidRDefault="00586C61">
      <w:r>
        <w:rPr>
          <w:b/>
          <w:color w:val="1A365D"/>
        </w:rPr>
        <w:t xml:space="preserve">Condition: </w:t>
      </w:r>
      <w:r>
        <w:t>Total ≥ 40, Heart ≥ 60%, Head &lt; 60%</w:t>
      </w:r>
    </w:p>
    <w:p w14:paraId="33CB1D9D" w14:textId="77777777" w:rsidR="0021267D" w:rsidRDefault="00586C61">
      <w:r>
        <w:rPr>
          <w:b/>
          <w:color w:val="1A365D"/>
        </w:rPr>
        <w:t xml:space="preserve">Insight Text: </w:t>
      </w:r>
      <w:r>
        <w:t>"Strong cultural foundation, but your decision systems may not scale. You're likely making good decisions slowly. Focus on clarifying decision rights, formalizing AI governance, and ensuring your operating cadence matches your growth ambitions. The gap between your people strength and your systems maturity is a hidden friction tax."</w:t>
      </w:r>
    </w:p>
    <w:p w14:paraId="123BF03F" w14:textId="77777777" w:rsidR="0021267D" w:rsidRDefault="0021267D"/>
    <w:p w14:paraId="207C5D0E" w14:textId="77777777" w:rsidR="0021267D" w:rsidRDefault="00586C61">
      <w:pPr>
        <w:pStyle w:val="Heading2"/>
      </w:pPr>
      <w:r>
        <w:t>High-Performance Zone — Head-Heavy</w:t>
      </w:r>
    </w:p>
    <w:p w14:paraId="5E0AB674" w14:textId="77777777" w:rsidR="0021267D" w:rsidRDefault="00586C61">
      <w:r>
        <w:rPr>
          <w:b/>
          <w:color w:val="1A365D"/>
        </w:rPr>
        <w:t xml:space="preserve">Condition: </w:t>
      </w:r>
      <w:r>
        <w:t>Total ≥ 40, Heart &lt; 60%</w:t>
      </w:r>
    </w:p>
    <w:p w14:paraId="5C066E35" w14:textId="77777777" w:rsidR="0021267D" w:rsidRDefault="00586C61">
      <w:r>
        <w:rPr>
          <w:b/>
          <w:color w:val="1A365D"/>
        </w:rPr>
        <w:t xml:space="preserve">Insight Text: </w:t>
      </w:r>
      <w:r>
        <w:t>"Strong systems and decision discipline, but your execution transparency scores suggest bad news may be traveling too slowly. High-performing teams with weak psychological safety eventually lose their best people — or worse, lose visibility into operational risks until it's too late. Invest in conflict resolution speed and succession depth."</w:t>
      </w:r>
    </w:p>
    <w:p w14:paraId="7DBEE0EF" w14:textId="77777777" w:rsidR="0021267D" w:rsidRDefault="0021267D"/>
    <w:p w14:paraId="1EC8306E" w14:textId="77777777" w:rsidR="0021267D" w:rsidRDefault="00586C61">
      <w:pPr>
        <w:pStyle w:val="Heading2"/>
      </w:pPr>
      <w:r>
        <w:t>Friction Zone — Culture Strong, Systems Weak</w:t>
      </w:r>
    </w:p>
    <w:p w14:paraId="00F6AC54" w14:textId="77777777" w:rsidR="0021267D" w:rsidRDefault="00586C61">
      <w:r>
        <w:rPr>
          <w:b/>
          <w:color w:val="1A365D"/>
        </w:rPr>
        <w:t xml:space="preserve">Condition: </w:t>
      </w:r>
      <w:r>
        <w:t>Total 25–39, Heart ≥ 60%, Head &lt; 60%</w:t>
      </w:r>
    </w:p>
    <w:p w14:paraId="123DC71E" w14:textId="77777777" w:rsidR="0021267D" w:rsidRDefault="00586C61">
      <w:r>
        <w:rPr>
          <w:b/>
          <w:color w:val="1A365D"/>
        </w:rPr>
        <w:lastRenderedPageBreak/>
        <w:t xml:space="preserve">Insight Text: </w:t>
      </w:r>
      <w:r>
        <w:t>"Your team trusts each other, but you're successful despite your operating systems, not because of them. You're paying a friction tax on every cross-functional decision: unclear decision rights, meetings that rehash instead of resolve, and strategic priorities that shift quarterly. This is the classic pattern before a missed quarter surprises the board."</w:t>
      </w:r>
    </w:p>
    <w:p w14:paraId="670C9101" w14:textId="77777777" w:rsidR="0021267D" w:rsidRDefault="0021267D"/>
    <w:p w14:paraId="6823C72A" w14:textId="77777777" w:rsidR="0021267D" w:rsidRDefault="00586C61">
      <w:pPr>
        <w:pStyle w:val="Heading2"/>
      </w:pPr>
      <w:r>
        <w:t>Friction Zone — Systems Strong, Culture Fragile</w:t>
      </w:r>
    </w:p>
    <w:p w14:paraId="3F9C78B7" w14:textId="77777777" w:rsidR="0021267D" w:rsidRDefault="00586C61">
      <w:r>
        <w:rPr>
          <w:b/>
          <w:color w:val="1A365D"/>
        </w:rPr>
        <w:t xml:space="preserve">Condition: </w:t>
      </w:r>
      <w:r>
        <w:t>Total 25–39, Heart &lt; 60%, Head ≥ 60%</w:t>
      </w:r>
    </w:p>
    <w:p w14:paraId="70CFD1E1" w14:textId="77777777" w:rsidR="0021267D" w:rsidRDefault="00586C61">
      <w:r>
        <w:rPr>
          <w:b/>
          <w:color w:val="1A365D"/>
        </w:rPr>
        <w:t xml:space="preserve">Insight Text: </w:t>
      </w:r>
      <w:r>
        <w:t>"Your operating rhythms and accountability structures are solid, but leadership friction is creating drag. When C-suite conflicts require CEO mediation, when bad news gets polished before it reaches you, and when your best people can't connect their work to the company's future — you have a retention and execution transparency problem that metrics alone won't solve."</w:t>
      </w:r>
    </w:p>
    <w:p w14:paraId="6FB396ED" w14:textId="77777777" w:rsidR="0021267D" w:rsidRDefault="0021267D"/>
    <w:p w14:paraId="57B1FB68" w14:textId="77777777" w:rsidR="0021267D" w:rsidRDefault="00586C61">
      <w:pPr>
        <w:pStyle w:val="Heading2"/>
      </w:pPr>
      <w:r>
        <w:t>Friction Zone (General)</w:t>
      </w:r>
    </w:p>
    <w:p w14:paraId="6206A19E" w14:textId="77777777" w:rsidR="0021267D" w:rsidRDefault="00586C61">
      <w:r>
        <w:rPr>
          <w:b/>
          <w:color w:val="1A365D"/>
        </w:rPr>
        <w:t xml:space="preserve">Condition: </w:t>
      </w:r>
      <w:r>
        <w:t>Total 25–39, Heart &lt; 60%, Head &lt; 60%</w:t>
      </w:r>
    </w:p>
    <w:p w14:paraId="33730643" w14:textId="77777777" w:rsidR="0021267D" w:rsidRDefault="00586C61">
      <w:r>
        <w:rPr>
          <w:b/>
          <w:color w:val="1A365D"/>
        </w:rPr>
        <w:t xml:space="preserve">Insight Text: </w:t>
      </w:r>
      <w:r>
        <w:t>"You're succeeding despite your leadership alignment, not because of it. Every misaligned decision, every unresolved C-suite conflict, and every ambiguous authority line is a tax on your EBITDA. The good news: focused alignment work on decision rights, operating cadence, and execution transparency typically shows measurable improvement within 90 days."</w:t>
      </w:r>
    </w:p>
    <w:p w14:paraId="5EC40657" w14:textId="77777777" w:rsidR="0021267D" w:rsidRDefault="0021267D"/>
    <w:p w14:paraId="213414D2" w14:textId="77777777" w:rsidR="0021267D" w:rsidRDefault="00586C61">
      <w:pPr>
        <w:pStyle w:val="Heading2"/>
      </w:pPr>
      <w:r>
        <w:t>Fracture Zone</w:t>
      </w:r>
    </w:p>
    <w:p w14:paraId="660F6E44" w14:textId="77777777" w:rsidR="0021267D" w:rsidRDefault="00586C61">
      <w:r>
        <w:rPr>
          <w:b/>
          <w:color w:val="1A365D"/>
        </w:rPr>
        <w:t xml:space="preserve">Condition: </w:t>
      </w:r>
      <w:r>
        <w:t>Total &lt; 25</w:t>
      </w:r>
    </w:p>
    <w:p w14:paraId="79060675" w14:textId="77777777" w:rsidR="0021267D" w:rsidRDefault="00586C61">
      <w:r>
        <w:rPr>
          <w:b/>
          <w:color w:val="1A365D"/>
        </w:rPr>
        <w:t xml:space="preserve">Insight Text: </w:t>
      </w:r>
      <w:r>
        <w:t>"High risk of cultural fracture or operational breakdown during the next scale-up, acquisition, or market shift. Your scores suggest significant gaps in both execution transparency and decision discipline. This is common during rapid growth, post-acquisition integration, or founder-to-professional-management transitions. The priority is stabilization: clarify the top three strategic priorities, establish decision rights, and create a safe channel for bad news to travel fast."</w:t>
      </w:r>
    </w:p>
    <w:p w14:paraId="7732BBF3" w14:textId="77777777" w:rsidR="0021267D" w:rsidRDefault="0021267D"/>
    <w:p w14:paraId="70614672" w14:textId="77777777" w:rsidR="0021267D" w:rsidRDefault="00586C61">
      <w:pPr>
        <w:pStyle w:val="Heading1"/>
      </w:pPr>
      <w:r>
        <w:t>8. Results Display</w:t>
      </w:r>
    </w:p>
    <w:p w14:paraId="5ED87647" w14:textId="77777777" w:rsidR="0021267D" w:rsidRDefault="00586C61">
      <w:pPr>
        <w:pStyle w:val="Heading2"/>
      </w:pPr>
      <w:r>
        <w:t>Quadrant Visualization</w:t>
      </w:r>
    </w:p>
    <w:p w14:paraId="313E6D2B" w14:textId="77777777" w:rsidR="0021267D" w:rsidRDefault="00586C61">
      <w:r>
        <w:t>Results are displayed on a four-quadrant chart with Head on the X-axis and Heart on the Y-axis:</w:t>
      </w:r>
    </w:p>
    <w:tbl>
      <w:tblPr>
        <w:tblStyle w:val="TableGrid"/>
        <w:tblW w:w="0" w:type="auto"/>
        <w:jc w:val="center"/>
        <w:tblLook w:val="04A0" w:firstRow="1" w:lastRow="0" w:firstColumn="1" w:lastColumn="0" w:noHBand="0" w:noVBand="1"/>
      </w:tblPr>
      <w:tblGrid>
        <w:gridCol w:w="2880"/>
        <w:gridCol w:w="2880"/>
        <w:gridCol w:w="2880"/>
      </w:tblGrid>
      <w:tr w:rsidR="0021267D" w14:paraId="6F60284C" w14:textId="77777777">
        <w:trPr>
          <w:jc w:val="center"/>
        </w:trPr>
        <w:tc>
          <w:tcPr>
            <w:tcW w:w="2880" w:type="dxa"/>
            <w:shd w:val="clear" w:color="auto" w:fill="1A365D"/>
          </w:tcPr>
          <w:p w14:paraId="42EEC943" w14:textId="77777777" w:rsidR="0021267D" w:rsidRDefault="0021267D"/>
        </w:tc>
        <w:tc>
          <w:tcPr>
            <w:tcW w:w="2880" w:type="dxa"/>
            <w:shd w:val="clear" w:color="auto" w:fill="1A365D"/>
          </w:tcPr>
          <w:p w14:paraId="5DABE37C" w14:textId="77777777" w:rsidR="0021267D" w:rsidRDefault="00586C61">
            <w:r>
              <w:rPr>
                <w:b/>
                <w:color w:val="FFFFFF"/>
                <w:sz w:val="20"/>
              </w:rPr>
              <w:t>Low Head</w:t>
            </w:r>
          </w:p>
        </w:tc>
        <w:tc>
          <w:tcPr>
            <w:tcW w:w="2880" w:type="dxa"/>
            <w:shd w:val="clear" w:color="auto" w:fill="1A365D"/>
          </w:tcPr>
          <w:p w14:paraId="2642E537" w14:textId="77777777" w:rsidR="0021267D" w:rsidRDefault="00586C61">
            <w:r>
              <w:rPr>
                <w:b/>
                <w:color w:val="FFFFFF"/>
                <w:sz w:val="20"/>
              </w:rPr>
              <w:t>High Head</w:t>
            </w:r>
          </w:p>
        </w:tc>
      </w:tr>
      <w:tr w:rsidR="0021267D" w14:paraId="41CF2200" w14:textId="77777777">
        <w:trPr>
          <w:jc w:val="center"/>
        </w:trPr>
        <w:tc>
          <w:tcPr>
            <w:tcW w:w="2880" w:type="dxa"/>
            <w:shd w:val="clear" w:color="auto" w:fill="1A365D"/>
          </w:tcPr>
          <w:p w14:paraId="56F6EA16" w14:textId="77777777" w:rsidR="0021267D" w:rsidRDefault="00586C61">
            <w:r>
              <w:rPr>
                <w:b/>
                <w:color w:val="FFFFFF"/>
                <w:sz w:val="20"/>
              </w:rPr>
              <w:lastRenderedPageBreak/>
              <w:t>High Heart</w:t>
            </w:r>
          </w:p>
        </w:tc>
        <w:tc>
          <w:tcPr>
            <w:tcW w:w="2880" w:type="dxa"/>
          </w:tcPr>
          <w:p w14:paraId="597F3F35" w14:textId="77777777" w:rsidR="0021267D" w:rsidRDefault="00586C61">
            <w:r>
              <w:t>High Heart / Low Head</w:t>
            </w:r>
          </w:p>
        </w:tc>
        <w:tc>
          <w:tcPr>
            <w:tcW w:w="2880" w:type="dxa"/>
          </w:tcPr>
          <w:p w14:paraId="01A8BFB5" w14:textId="77777777" w:rsidR="0021267D" w:rsidRDefault="00586C61">
            <w:r>
              <w:t>Balanced Leadership</w:t>
            </w:r>
          </w:p>
        </w:tc>
      </w:tr>
      <w:tr w:rsidR="0021267D" w14:paraId="10A37583" w14:textId="77777777">
        <w:trPr>
          <w:jc w:val="center"/>
        </w:trPr>
        <w:tc>
          <w:tcPr>
            <w:tcW w:w="2880" w:type="dxa"/>
            <w:shd w:val="clear" w:color="auto" w:fill="1A365D"/>
          </w:tcPr>
          <w:p w14:paraId="42582A06" w14:textId="77777777" w:rsidR="0021267D" w:rsidRDefault="00586C61">
            <w:r>
              <w:rPr>
                <w:b/>
                <w:color w:val="FFFFFF"/>
                <w:sz w:val="20"/>
              </w:rPr>
              <w:t>Low Heart</w:t>
            </w:r>
          </w:p>
        </w:tc>
        <w:tc>
          <w:tcPr>
            <w:tcW w:w="2880" w:type="dxa"/>
          </w:tcPr>
          <w:p w14:paraId="4B510D2F" w14:textId="77777777" w:rsidR="0021267D" w:rsidRDefault="00586C61">
            <w:r>
              <w:t>Growth Opportunity</w:t>
            </w:r>
          </w:p>
        </w:tc>
        <w:tc>
          <w:tcPr>
            <w:tcW w:w="2880" w:type="dxa"/>
          </w:tcPr>
          <w:p w14:paraId="7F739837" w14:textId="77777777" w:rsidR="0021267D" w:rsidRDefault="00586C61">
            <w:r>
              <w:t>High Head / Low Heart</w:t>
            </w:r>
          </w:p>
        </w:tc>
      </w:tr>
    </w:tbl>
    <w:p w14:paraId="69DFDC0F" w14:textId="77777777" w:rsidR="0021267D" w:rsidRDefault="00586C61">
      <w:pPr>
        <w:pStyle w:val="Heading2"/>
      </w:pPr>
      <w:r>
        <w:t>Dot Positioning Formula</w:t>
      </w:r>
    </w:p>
    <w:p w14:paraId="4C0A1180" w14:textId="77777777" w:rsidR="0021267D" w:rsidRDefault="00586C61">
      <w:r>
        <w:t>The respondent's position dot is placed using these formulas:</w:t>
      </w:r>
    </w:p>
    <w:p w14:paraId="394E447A" w14:textId="77777777" w:rsidR="0021267D" w:rsidRDefault="00586C61">
      <w:r>
        <w:rPr>
          <w:b/>
        </w:rPr>
        <w:t>X position = 10 + (Head% × 0.8)</w:t>
      </w:r>
      <w:r>
        <w:t xml:space="preserve">  →  Maps to 10–90% of chart width</w:t>
      </w:r>
    </w:p>
    <w:p w14:paraId="0AA5C228" w14:textId="77777777" w:rsidR="0021267D" w:rsidRDefault="0021267D"/>
    <w:p w14:paraId="14163719" w14:textId="77777777" w:rsidR="0021267D" w:rsidRDefault="00586C61">
      <w:r>
        <w:rPr>
          <w:b/>
        </w:rPr>
        <w:t>Y position = 90 − (Heart% × 0.8)</w:t>
      </w:r>
      <w:r>
        <w:t xml:space="preserve">  →  Inverted Y-axis, maps to 10–90% of chart height</w:t>
      </w:r>
    </w:p>
    <w:p w14:paraId="334C8742" w14:textId="77777777" w:rsidR="0021267D" w:rsidRDefault="0021267D"/>
    <w:p w14:paraId="19EDCC44" w14:textId="77777777" w:rsidR="0021267D" w:rsidRDefault="00586C61">
      <w:r>
        <w:t>This keeps the dot within the visible chart area with padding, preventing it from sitting directly on the axis lines.</w:t>
      </w:r>
    </w:p>
    <w:p w14:paraId="52C205A6" w14:textId="77777777" w:rsidR="0021267D" w:rsidRDefault="00586C61">
      <w:pPr>
        <w:pStyle w:val="Heading2"/>
      </w:pPr>
      <w:r>
        <w:t>Score Display</w:t>
      </w:r>
    </w:p>
    <w:p w14:paraId="785F8CF0" w14:textId="77777777" w:rsidR="0021267D" w:rsidRDefault="00586C61">
      <w:r>
        <w:t>Heart Score and Head Score are displayed as percentages (e.g., "72%") alongside the quadrant chart. The profile type name is shown as a label above the narrative insight paragraph.</w:t>
      </w:r>
    </w:p>
    <w:p w14:paraId="04AED903" w14:textId="77777777" w:rsidR="0021267D" w:rsidRDefault="00586C61">
      <w:pPr>
        <w:pStyle w:val="Heading1"/>
      </w:pPr>
      <w:r>
        <w:t>9. Data Submission</w:t>
      </w:r>
    </w:p>
    <w:p w14:paraId="42C80B73" w14:textId="77777777" w:rsidR="0021267D" w:rsidRDefault="00586C61">
      <w:r>
        <w:t>Upon lead form submission, the following data is sent to a Google Apps Script endpoint:</w:t>
      </w:r>
    </w:p>
    <w:tbl>
      <w:tblPr>
        <w:tblStyle w:val="TableGrid"/>
        <w:tblW w:w="0" w:type="auto"/>
        <w:jc w:val="center"/>
        <w:tblLook w:val="04A0" w:firstRow="1" w:lastRow="0" w:firstColumn="1" w:lastColumn="0" w:noHBand="0" w:noVBand="1"/>
      </w:tblPr>
      <w:tblGrid>
        <w:gridCol w:w="4320"/>
        <w:gridCol w:w="4320"/>
      </w:tblGrid>
      <w:tr w:rsidR="0021267D" w14:paraId="4053D86B" w14:textId="77777777">
        <w:trPr>
          <w:jc w:val="center"/>
        </w:trPr>
        <w:tc>
          <w:tcPr>
            <w:tcW w:w="4320" w:type="dxa"/>
            <w:shd w:val="clear" w:color="auto" w:fill="1A365D"/>
          </w:tcPr>
          <w:p w14:paraId="0F6C1FEF" w14:textId="77777777" w:rsidR="0021267D" w:rsidRDefault="00586C61">
            <w:r>
              <w:rPr>
                <w:b/>
                <w:color w:val="FFFFFF"/>
                <w:sz w:val="20"/>
              </w:rPr>
              <w:t>Field</w:t>
            </w:r>
          </w:p>
        </w:tc>
        <w:tc>
          <w:tcPr>
            <w:tcW w:w="4320" w:type="dxa"/>
            <w:shd w:val="clear" w:color="auto" w:fill="1A365D"/>
          </w:tcPr>
          <w:p w14:paraId="4211CF8B" w14:textId="77777777" w:rsidR="0021267D" w:rsidRDefault="00586C61">
            <w:r>
              <w:rPr>
                <w:b/>
                <w:color w:val="FFFFFF"/>
                <w:sz w:val="20"/>
              </w:rPr>
              <w:t>Description</w:t>
            </w:r>
          </w:p>
        </w:tc>
      </w:tr>
      <w:tr w:rsidR="0021267D" w14:paraId="59448A4D" w14:textId="77777777">
        <w:trPr>
          <w:jc w:val="center"/>
        </w:trPr>
        <w:tc>
          <w:tcPr>
            <w:tcW w:w="4320" w:type="dxa"/>
          </w:tcPr>
          <w:p w14:paraId="6BA2614D" w14:textId="77777777" w:rsidR="0021267D" w:rsidRDefault="00586C61">
            <w:r>
              <w:t>type</w:t>
            </w:r>
          </w:p>
        </w:tc>
        <w:tc>
          <w:tcPr>
            <w:tcW w:w="4320" w:type="dxa"/>
          </w:tcPr>
          <w:p w14:paraId="4F7BBE68" w14:textId="77777777" w:rsidR="0021267D" w:rsidRDefault="00586C61">
            <w:r>
              <w:t>"assessment" — routes to the Assessment Leads sheet</w:t>
            </w:r>
          </w:p>
        </w:tc>
      </w:tr>
      <w:tr w:rsidR="0021267D" w14:paraId="04BB37AC" w14:textId="77777777">
        <w:trPr>
          <w:jc w:val="center"/>
        </w:trPr>
        <w:tc>
          <w:tcPr>
            <w:tcW w:w="4320" w:type="dxa"/>
          </w:tcPr>
          <w:p w14:paraId="357A82BE" w14:textId="77777777" w:rsidR="0021267D" w:rsidRDefault="00586C61">
            <w:r>
              <w:t>name</w:t>
            </w:r>
          </w:p>
        </w:tc>
        <w:tc>
          <w:tcPr>
            <w:tcW w:w="4320" w:type="dxa"/>
          </w:tcPr>
          <w:p w14:paraId="37F6738A" w14:textId="77777777" w:rsidR="0021267D" w:rsidRDefault="00586C61">
            <w:r>
              <w:t>Respondent full name</w:t>
            </w:r>
          </w:p>
        </w:tc>
      </w:tr>
      <w:tr w:rsidR="0021267D" w14:paraId="050DDF68" w14:textId="77777777">
        <w:trPr>
          <w:jc w:val="center"/>
        </w:trPr>
        <w:tc>
          <w:tcPr>
            <w:tcW w:w="4320" w:type="dxa"/>
          </w:tcPr>
          <w:p w14:paraId="1D53805A" w14:textId="77777777" w:rsidR="0021267D" w:rsidRDefault="00586C61">
            <w:r>
              <w:t>email</w:t>
            </w:r>
          </w:p>
        </w:tc>
        <w:tc>
          <w:tcPr>
            <w:tcW w:w="4320" w:type="dxa"/>
          </w:tcPr>
          <w:p w14:paraId="276FBF62" w14:textId="77777777" w:rsidR="0021267D" w:rsidRDefault="00586C61">
            <w:r>
              <w:t>Respondent work email</w:t>
            </w:r>
          </w:p>
        </w:tc>
      </w:tr>
      <w:tr w:rsidR="0021267D" w14:paraId="3F6F9E87" w14:textId="77777777">
        <w:trPr>
          <w:jc w:val="center"/>
        </w:trPr>
        <w:tc>
          <w:tcPr>
            <w:tcW w:w="4320" w:type="dxa"/>
          </w:tcPr>
          <w:p w14:paraId="0040533B" w14:textId="77777777" w:rsidR="0021267D" w:rsidRDefault="00586C61">
            <w:r>
              <w:t>company</w:t>
            </w:r>
          </w:p>
        </w:tc>
        <w:tc>
          <w:tcPr>
            <w:tcW w:w="4320" w:type="dxa"/>
          </w:tcPr>
          <w:p w14:paraId="3EC5A59F" w14:textId="77777777" w:rsidR="0021267D" w:rsidRDefault="00586C61">
            <w:r>
              <w:t>Company name</w:t>
            </w:r>
          </w:p>
        </w:tc>
      </w:tr>
      <w:tr w:rsidR="0021267D" w14:paraId="69B4BF69" w14:textId="77777777">
        <w:trPr>
          <w:jc w:val="center"/>
        </w:trPr>
        <w:tc>
          <w:tcPr>
            <w:tcW w:w="4320" w:type="dxa"/>
          </w:tcPr>
          <w:p w14:paraId="38217A22" w14:textId="77777777" w:rsidR="0021267D" w:rsidRDefault="00586C61">
            <w:r>
              <w:t>role</w:t>
            </w:r>
          </w:p>
        </w:tc>
        <w:tc>
          <w:tcPr>
            <w:tcW w:w="4320" w:type="dxa"/>
          </w:tcPr>
          <w:p w14:paraId="77574310" w14:textId="77777777" w:rsidR="0021267D" w:rsidRDefault="00586C61">
            <w:r>
              <w:t>Respondent role/title</w:t>
            </w:r>
          </w:p>
        </w:tc>
      </w:tr>
      <w:tr w:rsidR="0021267D" w14:paraId="6C7C7D0E" w14:textId="77777777">
        <w:trPr>
          <w:jc w:val="center"/>
        </w:trPr>
        <w:tc>
          <w:tcPr>
            <w:tcW w:w="4320" w:type="dxa"/>
          </w:tcPr>
          <w:p w14:paraId="5620100F" w14:textId="77777777" w:rsidR="0021267D" w:rsidRDefault="00586C61">
            <w:r>
              <w:t>phone</w:t>
            </w:r>
          </w:p>
        </w:tc>
        <w:tc>
          <w:tcPr>
            <w:tcW w:w="4320" w:type="dxa"/>
          </w:tcPr>
          <w:p w14:paraId="27150563" w14:textId="77777777" w:rsidR="0021267D" w:rsidRDefault="00586C61">
            <w:r>
              <w:t>Phone number (optional)</w:t>
            </w:r>
          </w:p>
        </w:tc>
      </w:tr>
      <w:tr w:rsidR="0021267D" w14:paraId="661F058F" w14:textId="77777777">
        <w:trPr>
          <w:jc w:val="center"/>
        </w:trPr>
        <w:tc>
          <w:tcPr>
            <w:tcW w:w="4320" w:type="dxa"/>
          </w:tcPr>
          <w:p w14:paraId="7ED676F8" w14:textId="77777777" w:rsidR="0021267D" w:rsidRDefault="00586C61">
            <w:r>
              <w:t>heartScore</w:t>
            </w:r>
          </w:p>
        </w:tc>
        <w:tc>
          <w:tcPr>
            <w:tcW w:w="4320" w:type="dxa"/>
          </w:tcPr>
          <w:p w14:paraId="049F1616" w14:textId="77777777" w:rsidR="0021267D" w:rsidRDefault="00586C61">
            <w:r>
              <w:t>Heart percentage (e.g., 72)</w:t>
            </w:r>
          </w:p>
        </w:tc>
      </w:tr>
      <w:tr w:rsidR="0021267D" w14:paraId="78E7C4D7" w14:textId="77777777">
        <w:trPr>
          <w:jc w:val="center"/>
        </w:trPr>
        <w:tc>
          <w:tcPr>
            <w:tcW w:w="4320" w:type="dxa"/>
          </w:tcPr>
          <w:p w14:paraId="4F25284C" w14:textId="77777777" w:rsidR="0021267D" w:rsidRDefault="00586C61">
            <w:r>
              <w:t>headScore</w:t>
            </w:r>
          </w:p>
        </w:tc>
        <w:tc>
          <w:tcPr>
            <w:tcW w:w="4320" w:type="dxa"/>
          </w:tcPr>
          <w:p w14:paraId="5F87D448" w14:textId="77777777" w:rsidR="0021267D" w:rsidRDefault="00586C61">
            <w:r>
              <w:t>Head percentage (e.g., 48)</w:t>
            </w:r>
          </w:p>
        </w:tc>
      </w:tr>
      <w:tr w:rsidR="0021267D" w14:paraId="0EE73998" w14:textId="77777777">
        <w:trPr>
          <w:jc w:val="center"/>
        </w:trPr>
        <w:tc>
          <w:tcPr>
            <w:tcW w:w="4320" w:type="dxa"/>
          </w:tcPr>
          <w:p w14:paraId="6E776184" w14:textId="77777777" w:rsidR="0021267D" w:rsidRDefault="00586C61">
            <w:r>
              <w:t>totalScore</w:t>
            </w:r>
          </w:p>
        </w:tc>
        <w:tc>
          <w:tcPr>
            <w:tcW w:w="4320" w:type="dxa"/>
          </w:tcPr>
          <w:p w14:paraId="74E4F711" w14:textId="77777777" w:rsidR="0021267D" w:rsidRDefault="00586C61">
            <w:r>
              <w:t>Raw total out of 50 (e.g., 30)</w:t>
            </w:r>
          </w:p>
        </w:tc>
      </w:tr>
      <w:tr w:rsidR="0021267D" w14:paraId="40D52D14" w14:textId="77777777">
        <w:trPr>
          <w:jc w:val="center"/>
        </w:trPr>
        <w:tc>
          <w:tcPr>
            <w:tcW w:w="4320" w:type="dxa"/>
          </w:tcPr>
          <w:p w14:paraId="57993DC8" w14:textId="77777777" w:rsidR="0021267D" w:rsidRDefault="00586C61">
            <w:r>
              <w:t>profileType</w:t>
            </w:r>
          </w:p>
        </w:tc>
        <w:tc>
          <w:tcPr>
            <w:tcW w:w="4320" w:type="dxa"/>
          </w:tcPr>
          <w:p w14:paraId="2CE3F906" w14:textId="77777777" w:rsidR="0021267D" w:rsidRDefault="00586C61">
            <w:r>
              <w:t>Zone and variant label (e.g., "Friction Zone — Culture Strong, Systems Weak")</w:t>
            </w:r>
          </w:p>
        </w:tc>
      </w:tr>
      <w:tr w:rsidR="0021267D" w14:paraId="3D48F734" w14:textId="77777777">
        <w:trPr>
          <w:jc w:val="center"/>
        </w:trPr>
        <w:tc>
          <w:tcPr>
            <w:tcW w:w="4320" w:type="dxa"/>
          </w:tcPr>
          <w:p w14:paraId="4D2F2032" w14:textId="77777777" w:rsidR="0021267D" w:rsidRDefault="00586C61">
            <w:r>
              <w:t>insights</w:t>
            </w:r>
          </w:p>
        </w:tc>
        <w:tc>
          <w:tcPr>
            <w:tcW w:w="4320" w:type="dxa"/>
          </w:tcPr>
          <w:p w14:paraId="23F30664" w14:textId="77777777" w:rsidR="0021267D" w:rsidRDefault="00586C61">
            <w:r>
              <w:t>Full narrative insight text for the profile</w:t>
            </w:r>
          </w:p>
        </w:tc>
      </w:tr>
      <w:tr w:rsidR="0021267D" w14:paraId="4CBAB55C" w14:textId="77777777">
        <w:trPr>
          <w:jc w:val="center"/>
        </w:trPr>
        <w:tc>
          <w:tcPr>
            <w:tcW w:w="4320" w:type="dxa"/>
          </w:tcPr>
          <w:p w14:paraId="33406DAB" w14:textId="77777777" w:rsidR="0021267D" w:rsidRDefault="00586C61">
            <w:r>
              <w:t>sendCopy</w:t>
            </w:r>
          </w:p>
        </w:tc>
        <w:tc>
          <w:tcPr>
            <w:tcW w:w="4320" w:type="dxa"/>
          </w:tcPr>
          <w:p w14:paraId="49BC028D" w14:textId="77777777" w:rsidR="0021267D" w:rsidRDefault="00586C61">
            <w:r>
              <w:t>Boolean — whether to email the respondent a copy of their results</w:t>
            </w:r>
          </w:p>
        </w:tc>
      </w:tr>
    </w:tbl>
    <w:p w14:paraId="31CC77F8" w14:textId="77777777" w:rsidR="0021267D" w:rsidRDefault="0021267D"/>
    <w:p w14:paraId="0C232E01" w14:textId="77777777" w:rsidR="0021267D" w:rsidRDefault="0021267D"/>
    <w:p w14:paraId="3CA885B9" w14:textId="77777777" w:rsidR="0021267D" w:rsidRDefault="00586C61">
      <w:pPr>
        <w:jc w:val="center"/>
      </w:pPr>
      <w:r>
        <w:rPr>
          <w:i/>
          <w:color w:val="1A365D"/>
          <w:sz w:val="20"/>
        </w:rPr>
        <w:t>Dualign — Leadership in Balance</w:t>
      </w:r>
    </w:p>
    <w:p w14:paraId="281EEE3D" w14:textId="77777777" w:rsidR="0021267D" w:rsidRDefault="00586C61">
      <w:pPr>
        <w:jc w:val="center"/>
      </w:pPr>
      <w:r>
        <w:rPr>
          <w:color w:val="666666"/>
          <w:sz w:val="18"/>
        </w:rPr>
        <w:t>dualign.io  |  bill@dualign.io  |  (475) 284-5315</w:t>
      </w:r>
    </w:p>
    <w:sectPr w:rsidR="0021267D" w:rsidSect="00AD4196">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1981F" w14:textId="77777777" w:rsidR="00586C61" w:rsidRDefault="00586C61" w:rsidP="00F5620A">
      <w:pPr>
        <w:spacing w:after="0" w:line="240" w:lineRule="auto"/>
      </w:pPr>
      <w:r>
        <w:separator/>
      </w:r>
    </w:p>
  </w:endnote>
  <w:endnote w:type="continuationSeparator" w:id="0">
    <w:p w14:paraId="7AF945C5" w14:textId="77777777" w:rsidR="00586C61" w:rsidRDefault="00586C61" w:rsidP="00F56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39299" w14:textId="77777777" w:rsidR="00956D83" w:rsidRDefault="00956D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160574"/>
      <w:docPartObj>
        <w:docPartGallery w:val="Page Numbers (Bottom of Page)"/>
        <w:docPartUnique/>
      </w:docPartObj>
    </w:sdtPr>
    <w:sdtContent>
      <w:sdt>
        <w:sdtPr>
          <w:id w:val="-1705238520"/>
          <w:docPartObj>
            <w:docPartGallery w:val="Page Numbers (Top of Page)"/>
            <w:docPartUnique/>
          </w:docPartObj>
        </w:sdtPr>
        <w:sdtContent>
          <w:p w14:paraId="104D6647" w14:textId="106E9D74" w:rsidR="00F5620A" w:rsidRDefault="00F5620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sidR="00956D83">
              <w:rPr>
                <w:b/>
                <w:bCs/>
                <w:sz w:val="24"/>
                <w:szCs w:val="24"/>
              </w:rPr>
              <w:tab/>
            </w:r>
            <w:r w:rsidR="00956D83">
              <w:rPr>
                <w:b/>
                <w:bCs/>
                <w:sz w:val="24"/>
                <w:szCs w:val="24"/>
              </w:rPr>
              <w:tab/>
            </w:r>
            <w:r w:rsidR="00C861F9">
              <w:rPr>
                <w:b/>
                <w:bCs/>
                <w:sz w:val="24"/>
                <w:szCs w:val="24"/>
              </w:rPr>
              <w:t>3/1/2026</w:t>
            </w:r>
          </w:p>
        </w:sdtContent>
      </w:sdt>
    </w:sdtContent>
  </w:sdt>
  <w:p w14:paraId="54ACCE51" w14:textId="77777777" w:rsidR="00F5620A" w:rsidRDefault="00F562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7E9B6" w14:textId="77777777" w:rsidR="00956D83" w:rsidRDefault="00956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AF068" w14:textId="77777777" w:rsidR="00586C61" w:rsidRDefault="00586C61" w:rsidP="00F5620A">
      <w:pPr>
        <w:spacing w:after="0" w:line="240" w:lineRule="auto"/>
      </w:pPr>
      <w:r>
        <w:separator/>
      </w:r>
    </w:p>
  </w:footnote>
  <w:footnote w:type="continuationSeparator" w:id="0">
    <w:p w14:paraId="16290D2A" w14:textId="77777777" w:rsidR="00586C61" w:rsidRDefault="00586C61" w:rsidP="00F56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9550" w14:textId="77777777" w:rsidR="00956D83" w:rsidRDefault="00956D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F8C3" w14:textId="77777777" w:rsidR="00956D83" w:rsidRDefault="00956D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1C77" w14:textId="77777777" w:rsidR="00956D83" w:rsidRDefault="00956D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168533">
    <w:abstractNumId w:val="8"/>
  </w:num>
  <w:num w:numId="2" w16cid:durableId="1452015725">
    <w:abstractNumId w:val="6"/>
  </w:num>
  <w:num w:numId="3" w16cid:durableId="1584334310">
    <w:abstractNumId w:val="5"/>
  </w:num>
  <w:num w:numId="4" w16cid:durableId="1058627258">
    <w:abstractNumId w:val="4"/>
  </w:num>
  <w:num w:numId="5" w16cid:durableId="227040717">
    <w:abstractNumId w:val="7"/>
  </w:num>
  <w:num w:numId="6" w16cid:durableId="1093403124">
    <w:abstractNumId w:val="3"/>
  </w:num>
  <w:num w:numId="7" w16cid:durableId="2105344949">
    <w:abstractNumId w:val="2"/>
  </w:num>
  <w:num w:numId="8" w16cid:durableId="1624967554">
    <w:abstractNumId w:val="1"/>
  </w:num>
  <w:num w:numId="9" w16cid:durableId="93594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67D"/>
    <w:rsid w:val="0029639D"/>
    <w:rsid w:val="00326F90"/>
    <w:rsid w:val="0053627D"/>
    <w:rsid w:val="00586C61"/>
    <w:rsid w:val="006170B0"/>
    <w:rsid w:val="00956D83"/>
    <w:rsid w:val="00AA1D8D"/>
    <w:rsid w:val="00AD4196"/>
    <w:rsid w:val="00B47730"/>
    <w:rsid w:val="00C861F9"/>
    <w:rsid w:val="00CB0664"/>
    <w:rsid w:val="00F562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38A4C4-6408-4517-BEF4-79D48849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072B3A-7729-4D1B-8A79-31A84DDCBCF9}">
  <we:reference id="wa200003915" version="2.0.0.0" store="en-US" storeType="OMEX"/>
  <we:alternateReferences>
    <we:reference id="WA20000391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1627</Words>
  <Characters>9016</Characters>
  <Application>Microsoft Office Word</Application>
  <DocSecurity>0</DocSecurity>
  <Lines>346</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Bill Maggio</cp:lastModifiedBy>
  <cp:revision>6</cp:revision>
  <cp:lastPrinted>2026-03-01T16:29:00Z</cp:lastPrinted>
  <dcterms:created xsi:type="dcterms:W3CDTF">2013-12-23T23:15:00Z</dcterms:created>
  <dcterms:modified xsi:type="dcterms:W3CDTF">2026-03-01T16:29:00Z</dcterms:modified>
  <cp:category/>
</cp:coreProperties>
</file>