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2D8D1978" w:rsidR="0089381E" w:rsidRDefault="0089381E" w:rsidP="0089381E">
      <w:pPr>
        <w:spacing w:after="0" w:line="360" w:lineRule="auto"/>
      </w:pPr>
      <w:r>
        <w:t xml:space="preserve">Assessing resistance to recovery in oyster populations </w:t>
      </w:r>
      <w:r w:rsidR="000142BB">
        <w:t>– inferences from inadequate</w:t>
      </w:r>
      <w:r w:rsidR="003664CE">
        <w:t xml:space="preserve"> design and</w:t>
      </w:r>
      <w:r w:rsidR="000142BB">
        <w:t xml:space="preserve"> monitoring programs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other ?)</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4E445E8B" w:rsidR="003664CE" w:rsidRDefault="003664CE" w:rsidP="0089381E">
      <w:pPr>
        <w:spacing w:after="0" w:line="360" w:lineRule="auto"/>
      </w:pPr>
      <w:r>
        <w:rPr>
          <w:i/>
          <w:iCs/>
        </w:rPr>
        <w:t>Abstract</w:t>
      </w:r>
    </w:p>
    <w:p w14:paraId="237A7CEE" w14:textId="77777777" w:rsidR="003664CE" w:rsidRDefault="003664CE"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w:t>
      </w:r>
      <w:r>
        <w:lastRenderedPageBreak/>
        <w:t>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2CCE057"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w:t>
      </w:r>
      <w:r w:rsidR="00C20968">
        <w:lastRenderedPageBreak/>
        <w:t xml:space="preserve">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w:t>
      </w:r>
      <w:proofErr w:type="spellStart"/>
      <w:r w:rsidR="0064356D">
        <w:t>cards</w:t>
      </w:r>
      <w:proofErr w:type="spellEnd"/>
      <w:r w:rsidR="0064356D">
        <w:t xml:space="preserve"> of fossil shell material</w:t>
      </w:r>
      <w:r w:rsidR="00E56514">
        <w:t xml:space="preserve"> was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 xml:space="preserve">Table 1.  Summary of deployment </w:t>
      </w:r>
      <w:commentRangeStart w:id="1"/>
      <w:r>
        <w:t>date</w:t>
      </w:r>
      <w:commentRangeEnd w:id="1"/>
      <w:r w:rsidR="00776A6D">
        <w:rPr>
          <w:rStyle w:val="CommentReference"/>
        </w:rPr>
        <w:commentReference w:id="1"/>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w:t>
      </w:r>
      <w:r>
        <w:lastRenderedPageBreak/>
        <w:t xml:space="preserve">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38739BE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w:t>
      </w:r>
      <w:r w:rsidR="00F03AC4">
        <w:lastRenderedPageBreak/>
        <w:t>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2"/>
      <w:r w:rsidR="00941C7F">
        <w:t>2021</w:t>
      </w:r>
      <w:commentRangeEnd w:id="2"/>
      <w:r w:rsidR="00941C7F">
        <w:rPr>
          <w:rStyle w:val="CommentReference"/>
        </w:rPr>
        <w:commentReference w:id="2"/>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3"/>
      <w:r w:rsidR="00656754">
        <w:t>1998</w:t>
      </w:r>
      <w:commentRangeEnd w:id="3"/>
      <w:r w:rsidR="00656754">
        <w:rPr>
          <w:rStyle w:val="CommentReference"/>
        </w:rPr>
        <w:commentReference w:id="3"/>
      </w:r>
      <w:r w:rsidR="002626DF">
        <w:t xml:space="preserve">, </w:t>
      </w:r>
      <w:r w:rsidR="00DA103B">
        <w:t xml:space="preserve">Fisch and Pine 2016) although the exact point of inundation may have changed over time due to </w:t>
      </w:r>
      <w:r w:rsidR="00656754">
        <w:t>river bed</w:t>
      </w:r>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4"/>
      <w:r w:rsidR="00FA276E">
        <w:t>2008</w:t>
      </w:r>
      <w:commentRangeEnd w:id="4"/>
      <w:r w:rsidR="00FA276E">
        <w:rPr>
          <w:rStyle w:val="CommentReference"/>
        </w:rPr>
        <w:commentReference w:id="4"/>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5"/>
      <w:r w:rsidR="00E8399B">
        <w:t>ABCDEF</w:t>
      </w:r>
      <w:commentRangeEnd w:id="5"/>
      <w:r w:rsidR="00B00C20">
        <w:rPr>
          <w:rStyle w:val="CommentReference"/>
        </w:rPr>
        <w:commentReference w:id="5"/>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14750E8D"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t>
      </w:r>
      <w:r w:rsidR="006E5504">
        <w:lastRenderedPageBreak/>
        <w:t>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65EF57D3"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w:t>
      </w:r>
      <w:r w:rsidR="00BE54FD">
        <w:lastRenderedPageBreak/>
        <w:t xml:space="preserve">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756A0737"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lastRenderedPageBreak/>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0672C7CF"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0846D32C"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w:t>
      </w:r>
      <w:r w:rsidR="00AC7DCE">
        <w:lastRenderedPageBreak/>
        <w:t xml:space="preserve">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lastRenderedPageBreak/>
        <w:t>Discussion</w:t>
      </w:r>
    </w:p>
    <w:p w14:paraId="55DC67DD" w14:textId="6F19637F"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 xml:space="preserve">ts in Apalachicola Bay where irregular clutching has been part of oyster management efforts since at least 1949 (Whitfield and </w:t>
      </w:r>
      <w:proofErr w:type="spellStart"/>
      <w:r w:rsidR="001A0FB8" w:rsidRPr="001A0FB8">
        <w:rPr>
          <w:rFonts w:cstheme="minorHAnsi"/>
        </w:rPr>
        <w:t>Beaumariage</w:t>
      </w:r>
      <w:proofErr w:type="spellEnd"/>
      <w:r w:rsidR="001A0FB8" w:rsidRPr="001A0FB8">
        <w:rPr>
          <w:rFonts w:cstheme="minorHAnsi"/>
        </w:rPr>
        <w:t xml:space="preserve"> 1977)</w:t>
      </w:r>
      <w:r w:rsidR="00EA5631">
        <w:rPr>
          <w:rFonts w:cstheme="minorHAnsi"/>
        </w:rPr>
        <w:t>.  Hurricane Elena in 1985 is thought to have</w:t>
      </w:r>
      <w:r w:rsidR="002E1880">
        <w:rPr>
          <w:rFonts w:cstheme="minorHAnsi"/>
        </w:rPr>
        <w:t xml:space="preserve"> had major impacts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the </w:t>
      </w:r>
      <w:r w:rsidR="008807DB">
        <w:rPr>
          <w:rFonts w:cstheme="minorHAnsi"/>
        </w:rPr>
        <w:t xml:space="preserve">Apalachicola </w:t>
      </w:r>
      <w:r w:rsidR="002E1880">
        <w:rPr>
          <w:rFonts w:cstheme="minorHAnsi"/>
        </w:rPr>
        <w:t>Bay</w:t>
      </w:r>
      <w:r w:rsidR="00EA5631">
        <w:rPr>
          <w:rFonts w:cstheme="minorHAnsi"/>
        </w:rPr>
        <w:t xml:space="preserve"> 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The restoration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with reported landings and related excise fees recovering 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77777777" w:rsidR="00CC728B" w:rsidRDefault="00066076" w:rsidP="007C361E">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6939E6">
        <w:rPr>
          <w:rFonts w:cstheme="minorHAnsi"/>
        </w:rPr>
        <w:t xml:space="preserve">predicted using a model fit to historic Apalachicola fisheries dependent and independent data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w:t>
      </w:r>
      <w:proofErr w:type="spellStart"/>
      <w:r w:rsidR="00AC54CD">
        <w:rPr>
          <w:rFonts w:cstheme="minorHAnsi"/>
        </w:rPr>
        <w:t>cultched</w:t>
      </w:r>
      <w:proofErr w:type="spellEnd"/>
      <w:r w:rsidR="00AC54CD">
        <w:rPr>
          <w:rFonts w:cstheme="minorHAnsi"/>
        </w:rPr>
        <w:t xml:space="preserve">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77777777" w:rsidR="00CC728B" w:rsidRDefault="00AC54CD" w:rsidP="00CC728B">
      <w:pPr>
        <w:spacing w:after="0" w:line="360" w:lineRule="auto"/>
        <w:ind w:firstLine="720"/>
        <w:rPr>
          <w:rFonts w:cstheme="minorHAnsi"/>
        </w:rPr>
      </w:pPr>
      <w:r>
        <w:rPr>
          <w:rFonts w:cstheme="minorHAnsi"/>
        </w:rPr>
        <w:lastRenderedPageBreak/>
        <w:t>Importantly, these are area estimates (400 ac recommend from simulation, 100 ac restored on average since the mid-1980s) which describe the surface area of cultch available for spat to settle</w:t>
      </w:r>
      <w:r w:rsidR="004263DE">
        <w:rPr>
          <w:rFonts w:cstheme="minorHAnsi"/>
        </w:rPr>
        <w:t xml:space="preserve"> and Pine et al. (2015) identify determining the volume to cultch as a research need</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 may be important in terms of elevating the reef into suitable water quality or hydrodynamic conditions</w:t>
      </w:r>
      <w:r w:rsidR="004263DE">
        <w:rPr>
          <w:rFonts w:cstheme="minorHAnsi"/>
        </w:rPr>
        <w:t xml:space="preserve"> and has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9"/>
      <w:r w:rsidR="00F613D3">
        <w:rPr>
          <w:rFonts w:cstheme="minorHAnsi"/>
        </w:rPr>
        <w:t>2017</w:t>
      </w:r>
      <w:commentRangeEnd w:id="9"/>
      <w:r w:rsidR="00F613D3">
        <w:rPr>
          <w:rStyle w:val="CommentReference"/>
        </w:rPr>
        <w:commentReference w:id="9"/>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77777777" w:rsidR="00CC728B" w:rsidRDefault="000B4A97" w:rsidP="00CC728B">
      <w:pPr>
        <w:spacing w:after="0" w:line="360" w:lineRule="auto"/>
        <w:ind w:firstLine="720"/>
        <w:rPr>
          <w:rFonts w:cstheme="minorHAnsi"/>
        </w:rPr>
      </w:pPr>
      <w:r>
        <w:rPr>
          <w:rFonts w:cstheme="minorHAnsi"/>
        </w:rPr>
        <w:t xml:space="preserve">Side-scan sonar mapping is routinely used as an assessment metric on a sub-set of restored reefs in Pensacola, St. Andrews, and Apalachicola bays and the restored reefs in these systems are highly variable in their observed elevation profiles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04AECA61" w:rsidR="00066076" w:rsidRDefault="000634CA" w:rsidP="00CC728B">
      <w:pPr>
        <w:spacing w:after="0" w:line="360"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performance of an oyster reef restoration project in the Chesapeake Bay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and as the restored reefs aged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w:t>
      </w:r>
      <w:r w:rsidR="00AA23E7">
        <w:rPr>
          <w:rFonts w:cstheme="minorHAnsi"/>
        </w:rPr>
        <w:lastRenderedPageBreak/>
        <w:t xml:space="preserve">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change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w:t>
      </w:r>
      <w:proofErr w:type="spellStart"/>
      <w:r w:rsidR="006053C6">
        <w:rPr>
          <w:rFonts w:cstheme="minorHAnsi"/>
        </w:rPr>
        <w:t>Ge</w:t>
      </w:r>
      <w:r w:rsidR="00567FC0">
        <w:rPr>
          <w:rFonts w:cstheme="minorHAnsi"/>
        </w:rPr>
        <w:t>selbract</w:t>
      </w:r>
      <w:proofErr w:type="spellEnd"/>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4096A3F6" w14:textId="3FD13F7F" w:rsidR="00CC728B" w:rsidRDefault="00CC728B" w:rsidP="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0"/>
      <w:proofErr w:type="spellStart"/>
      <w:r w:rsidR="00D00475">
        <w:rPr>
          <w:rFonts w:cstheme="minorHAnsi"/>
        </w:rPr>
        <w:t>Bersoza</w:t>
      </w:r>
      <w:commentRangeEnd w:id="10"/>
      <w:proofErr w:type="spellEnd"/>
      <w:r w:rsidR="00D00475">
        <w:rPr>
          <w:rStyle w:val="CommentReference"/>
        </w:rPr>
        <w:commentReference w:id="10"/>
      </w:r>
      <w:r w:rsidR="00D00475">
        <w:rPr>
          <w:rFonts w:cstheme="minorHAnsi"/>
        </w:rPr>
        <w:t xml:space="preserve"> Hernandez 2018; </w:t>
      </w:r>
      <w:proofErr w:type="spellStart"/>
      <w:r w:rsidR="00D00475">
        <w:rPr>
          <w:rFonts w:cstheme="minorHAnsi"/>
        </w:rPr>
        <w:t>Goelz</w:t>
      </w:r>
      <w:proofErr w:type="spellEnd"/>
      <w:r w:rsidR="00D00475">
        <w:rPr>
          <w:rFonts w:cstheme="minorHAnsi"/>
        </w:rPr>
        <w:t xml:space="preserve"> et al. 2020) including in Florida where restoration materials include multiple types of limestone, quarried oyster shell, clam shell, crushed granite and various types of artificial materials (OIMMP documents?).</w:t>
      </w:r>
      <w:r w:rsidR="003F18EB">
        <w:rPr>
          <w:rFonts w:cstheme="minorHAnsi"/>
        </w:rPr>
        <w:t xml:space="preserve">  While the State statutes are difficult to interpret, it appears that historically Florida required 50% of the shell material removed from harvest to be retained for public use, and that much of this material was used as part of clutching efforts.  However, critically these statutes exempt shell material for oysters used in the half-shell market from this requirement, thus oysters sold as half-shell (a national market) are not required for re-use.  </w:t>
      </w:r>
      <w:proofErr w:type="spellStart"/>
      <w:r w:rsidR="003F18EB">
        <w:rPr>
          <w:rFonts w:cstheme="minorHAnsi"/>
        </w:rPr>
        <w:t>Cultching</w:t>
      </w:r>
      <w:proofErr w:type="spellEnd"/>
      <w:r w:rsidR="003F18EB">
        <w:rPr>
          <w:rFonts w:cstheme="minorHAnsi"/>
        </w:rPr>
        <w:t xml:space="preserve"> efforts in Apalachicola Bay were at one time identified as a contributing factor for long-term sustainability of harvest in the </w:t>
      </w:r>
      <w:commentRangeStart w:id="11"/>
      <w:r w:rsidR="003F18EB">
        <w:rPr>
          <w:rFonts w:cstheme="minorHAnsi"/>
        </w:rPr>
        <w:t>Bay</w:t>
      </w:r>
      <w:commentRangeEnd w:id="11"/>
      <w:r w:rsidR="003F18EB">
        <w:rPr>
          <w:rStyle w:val="CommentReference"/>
        </w:rPr>
        <w:commentReference w:id="11"/>
      </w:r>
      <w:r w:rsidR="003F18EB">
        <w:rPr>
          <w:rFonts w:cstheme="minorHAnsi"/>
        </w:rPr>
        <w:t xml:space="preserve"> (Zu </w:t>
      </w:r>
      <w:proofErr w:type="spellStart"/>
      <w:r w:rsidR="003F18EB">
        <w:rPr>
          <w:rFonts w:cstheme="minorHAnsi"/>
        </w:rPr>
        <w:t>Ermgassen</w:t>
      </w:r>
      <w:proofErr w:type="spellEnd"/>
      <w:r w:rsidR="003F18EB">
        <w:rPr>
          <w:rFonts w:cstheme="minorHAnsi"/>
        </w:rPr>
        <w:t xml:space="preserve"> et al. 2012) but the observed oyster fishery collapse in 2012 and a combination of modeling (Pine et al. 2015; Johnson et al. 2022) and empirical assessments (this work) suggest that may not be the case.  </w:t>
      </w:r>
      <w:r w:rsidR="00D11ABB">
        <w:rPr>
          <w:rFonts w:cstheme="minorHAnsi"/>
        </w:rPr>
        <w:t xml:space="preserve">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  Understanding the magnitude of </w:t>
      </w:r>
      <w:r w:rsidR="00B50E0F">
        <w:rPr>
          <w:rFonts w:cstheme="minorHAnsi"/>
        </w:rPr>
        <w:t>removals is likely important to gauging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637A3F53" w:rsidR="000B4A97" w:rsidRPr="00B110FB" w:rsidRDefault="006F3B81" w:rsidP="007C361E">
      <w:pPr>
        <w:spacing w:after="0" w:line="360" w:lineRule="auto"/>
        <w:rPr>
          <w:rFonts w:cstheme="minorHAnsi"/>
          <w:i/>
          <w:iCs/>
        </w:rPr>
      </w:pPr>
      <w:r>
        <w:rPr>
          <w:rFonts w:cstheme="minorHAnsi"/>
          <w:i/>
          <w:iCs/>
        </w:rPr>
        <w:t>R</w:t>
      </w:r>
      <w:r w:rsidR="00B110FB">
        <w:rPr>
          <w:rFonts w:cstheme="minorHAnsi"/>
          <w:i/>
          <w:iCs/>
        </w:rPr>
        <w:t xml:space="preserve">esistant to </w:t>
      </w:r>
      <w:commentRangeStart w:id="12"/>
      <w:r w:rsidR="00B110FB">
        <w:rPr>
          <w:rFonts w:cstheme="minorHAnsi"/>
          <w:i/>
          <w:iCs/>
        </w:rPr>
        <w:t>restoration</w:t>
      </w:r>
      <w:commentRangeEnd w:id="12"/>
      <w:r>
        <w:rPr>
          <w:rStyle w:val="CommentReference"/>
        </w:rPr>
        <w:commentReference w:id="12"/>
      </w:r>
      <w:r>
        <w:rPr>
          <w:rFonts w:cstheme="minorHAnsi"/>
          <w:i/>
          <w:iCs/>
        </w:rPr>
        <w:t xml:space="preserve"> or resistant to learning</w:t>
      </w:r>
      <w:r w:rsidR="00B110FB">
        <w:rPr>
          <w:rFonts w:cstheme="minorHAnsi"/>
          <w:i/>
          <w:iCs/>
        </w:rPr>
        <w:t>?</w:t>
      </w:r>
    </w:p>
    <w:p w14:paraId="2D9A0153" w14:textId="01C5F21C" w:rsidR="00B110FB" w:rsidRDefault="00B110FB" w:rsidP="00B110FB">
      <w:pPr>
        <w:spacing w:after="0" w:line="360" w:lineRule="auto"/>
      </w:pPr>
    </w:p>
    <w:p w14:paraId="4584946A" w14:textId="05B647FA" w:rsidR="009D7B0A" w:rsidRDefault="00602E34" w:rsidP="00667E1F">
      <w:pPr>
        <w:spacing w:after="0" w:line="360" w:lineRule="auto"/>
      </w:pPr>
      <w:r>
        <w:t xml:space="preserve">There are at least </w:t>
      </w:r>
      <w:r w:rsidR="00871766">
        <w:t>five</w:t>
      </w:r>
      <w:r>
        <w:t xml:space="preserve"> key takeaways from this analyses:</w:t>
      </w:r>
    </w:p>
    <w:p w14:paraId="46196115" w14:textId="13D31A20" w:rsidR="00602E34" w:rsidRDefault="00602E34" w:rsidP="00667E1F">
      <w:pPr>
        <w:spacing w:after="0" w:line="360" w:lineRule="auto"/>
      </w:pPr>
      <w:r>
        <w:lastRenderedPageBreak/>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4932D11D" w:rsidR="00602E34" w:rsidRDefault="00602E34" w:rsidP="00667E1F">
      <w:pPr>
        <w:spacing w:after="0" w:line="360" w:lineRule="auto"/>
      </w:pPr>
      <w:r>
        <w:t>(2) The lack of measured population response has happened during a period when river discharge ranged from moderate drought to generally normal river discharge</w:t>
      </w:r>
      <w:r w:rsidR="00F924E2">
        <w:t xml:space="preserve"> for the period of instrument record</w:t>
      </w:r>
      <w:r>
        <w:t>.  Because river discharge is thought to be a major driver of salinity, and salinity a major driver of oyster survival (demonstrated by State of Florida position in FL v GA)</w:t>
      </w:r>
      <w:r w:rsidR="00F924E2">
        <w:t xml:space="preserve"> this would suggest that salinity (and other river related ecosystem drivers such as nutrients) have been near normal</w:t>
      </w:r>
      <w:r w:rsidR="00ED3261">
        <w:t xml:space="preserve"> in recent years</w:t>
      </w:r>
      <w:r w:rsidR="00F924E2">
        <w:t xml:space="preserve"> for the period of instrument record.  This lack of response has also happened while commercial fisheries have been closed by statute (Apalachicola) or appear to be extremely low based on commercial fisheries landings information (Pensacola and St. Andrews).</w:t>
      </w:r>
    </w:p>
    <w:p w14:paraId="21B1C53A" w14:textId="27659C1C" w:rsidR="00F924E2" w:rsidRDefault="00F924E2" w:rsidP="00667E1F">
      <w:pPr>
        <w:spacing w:after="0" w:line="360" w:lineRule="auto"/>
      </w:pPr>
      <w:r>
        <w:t>(3) The major projects described in Table 1 are primarily focused on subtidal oyster reefs – reefs that are not dewatered at some predictable tide level.  The Lone Cabbage Reef restoration project has shown a positive response to restoration, and that project did focus on restoration of intertidal oyster reefs that do dewater at a predictable tide level. Whether restoration practices used for Lone Cabbage can be extended to subtidal habitats is unknown.</w:t>
      </w:r>
    </w:p>
    <w:p w14:paraId="00229EC4" w14:textId="655C9364" w:rsidR="00F924E2" w:rsidRDefault="00F924E2" w:rsidP="00667E1F">
      <w:pPr>
        <w:spacing w:after="0" w:line="360" w:lineRule="auto"/>
      </w:pPr>
      <w:r>
        <w:t xml:space="preserve">(4) </w:t>
      </w:r>
      <w:r w:rsidR="002D1A2E">
        <w:t xml:space="preserve">Careful assessment should be given to the types of restoration materials used.  The Berrigan (1990) restoration project which is identified as a successful project used scallop shell dredged from Lake </w:t>
      </w:r>
      <w:r w:rsidR="007E4D4B" w:rsidRPr="007E4D4B">
        <w:t>Pontchartrain</w:t>
      </w:r>
      <w:r w:rsidR="007E4D4B">
        <w:t>, LA</w:t>
      </w:r>
      <w:r w:rsidR="002D1A2E">
        <w:t xml:space="preserve"> as the cultch material.  Oyster shell material is cited as one of the most effective shell restoration materials (Frederick et al. 2016, summary figure across projects based on </w:t>
      </w:r>
      <w:commentRangeStart w:id="13"/>
      <w:proofErr w:type="spellStart"/>
      <w:r w:rsidR="002D1A2E">
        <w:t>LaPeyre</w:t>
      </w:r>
      <w:commentRangeEnd w:id="13"/>
      <w:proofErr w:type="spellEnd"/>
      <w:r w:rsidR="002D1A2E">
        <w:rPr>
          <w:rStyle w:val="CommentReference"/>
        </w:rPr>
        <w:commentReference w:id="13"/>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simple acid reactive test</w:t>
      </w:r>
      <w:r w:rsidR="00871766">
        <w:t xml:space="preserve"> than the Ocala formation material used on Lone Cabbage</w:t>
      </w:r>
      <w:r w:rsidR="00FE48B4">
        <w:t xml:space="preserve"> (Jon Yeager, UF Geology</w:t>
      </w:r>
      <w:r w:rsidR="00871766">
        <w:t>).</w:t>
      </w:r>
      <w:r w:rsidR="00FE48B4">
        <w:t xml:space="preserve">  A formal chemical and physical analyses of both types of limestone is ongoing now by the UF Geology Department.</w:t>
      </w:r>
    </w:p>
    <w:p w14:paraId="2685130A" w14:textId="205F8B39" w:rsidR="00ED3261" w:rsidRDefault="00871766" w:rsidP="00667E1F">
      <w:pPr>
        <w:spacing w:after="0" w:line="360" w:lineRule="auto"/>
      </w:pPr>
      <w:r>
        <w:lastRenderedPageBreak/>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There is significant concern that the Pensacola, St. Andrews, and especially Apalachicola Bay oyster populations are at such a degraded state that no restoration or management action as considered may be effective in altering current conditions.</w:t>
      </w:r>
    </w:p>
    <w:p w14:paraId="3961E6E6" w14:textId="3EF1520A" w:rsidR="00ED3261" w:rsidRPr="00ED3261" w:rsidRDefault="00ED3261" w:rsidP="00667E1F">
      <w:pPr>
        <w:spacing w:after="0" w:line="360" w:lineRule="auto"/>
        <w:rPr>
          <w:i/>
          <w:iCs/>
        </w:rPr>
      </w:pPr>
      <w:r>
        <w:rPr>
          <w:i/>
          <w:iCs/>
        </w:rPr>
        <w:t>Conclusions</w:t>
      </w:r>
    </w:p>
    <w:p w14:paraId="78803A79" w14:textId="057468F0" w:rsidR="00871766" w:rsidRDefault="00361E07" w:rsidP="00ED3261">
      <w:pPr>
        <w:spacing w:after="0" w:line="360" w:lineRule="auto"/>
        <w:ind w:firstLine="720"/>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14"/>
      <w:r w:rsidR="00ED3261">
        <w:t>al</w:t>
      </w:r>
      <w:commentRangeEnd w:id="14"/>
      <w:r w:rsidR="00ED3261">
        <w:rPr>
          <w:rStyle w:val="CommentReference"/>
        </w:rPr>
        <w:commentReference w:id="14"/>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restoration and management uncertainties identified in this assessment have persisted for long periods of time</w:t>
      </w:r>
      <w:r w:rsidR="007F2C87">
        <w:t xml:space="preserve"> in Florida</w:t>
      </w:r>
      <w:r w:rsidR="007E4D4B">
        <w:t xml:space="preserve"> (decades to centuries; Swift 1897, Pine et al. 2015, Camp et al. 2015)</w:t>
      </w:r>
      <w:r w:rsidR="007F2C87">
        <w:t>.  T</w:t>
      </w:r>
      <w:r w:rsidR="00111AC2">
        <w:t xml:space="preserve">his resistance to learning to inform restoration is a widespread problem in ongoing large-scale restoration efforts in the Gulf of Mexico (NAS </w:t>
      </w:r>
      <w:commentRangeStart w:id="15"/>
      <w:r w:rsidR="00111AC2">
        <w:t>2022</w:t>
      </w:r>
      <w:commentRangeEnd w:id="15"/>
      <w:r w:rsidR="00111AC2">
        <w:rPr>
          <w:rStyle w:val="CommentReference"/>
        </w:rPr>
        <w:commentReference w:id="15"/>
      </w:r>
      <w:r w:rsidR="00111AC2">
        <w:t xml:space="preserve">) and has been a challenge to large-scale restoration and management efforts for decades (Walters 1986; Gunderson 1999; Walters 2007; Pine et al. 2022).  </w:t>
      </w:r>
      <w:commentRangeStart w:id="16"/>
      <w:r w:rsidR="00111AC2">
        <w:t>Gunderson</w:t>
      </w:r>
      <w:commentRangeEnd w:id="16"/>
      <w:r w:rsidR="003A5067">
        <w:rPr>
          <w:rStyle w:val="CommentReference"/>
        </w:rPr>
        <w:commentReference w:id="16"/>
      </w:r>
      <w:r w:rsidR="00111AC2">
        <w:t xml:space="preserve"> (1999) in a classic assessment of</w:t>
      </w:r>
      <w:r w:rsidR="003A5067">
        <w:t xml:space="preserve"> learning and barriers to learning in adaptive ecosystem assessment and management (AEAM) suggests</w:t>
      </w:r>
    </w:p>
    <w:p w14:paraId="1B61D74E" w14:textId="138D7FA4" w:rsidR="00111AC2" w:rsidRDefault="00111AC2" w:rsidP="00ED3261">
      <w:pPr>
        <w:spacing w:after="0" w:line="360" w:lineRule="auto"/>
        <w:ind w:firstLine="720"/>
      </w:pPr>
    </w:p>
    <w:p w14:paraId="366661D0" w14:textId="6F54E516" w:rsidR="00111AC2" w:rsidRDefault="00111AC2" w:rsidP="003A5067">
      <w:pPr>
        <w:spacing w:after="0" w:line="240" w:lineRule="auto"/>
        <w:ind w:left="720"/>
      </w:pPr>
      <w:r>
        <w:rPr>
          <w:rFonts w:ascii="Verdana" w:hAnsi="Verdana"/>
          <w:color w:val="000000"/>
          <w:sz w:val="18"/>
          <w:szCs w:val="18"/>
          <w:shd w:val="clear" w:color="auto" w:fill="FFFFFF"/>
        </w:rPr>
        <w:t xml:space="preserve">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w:t>
      </w:r>
      <w:r>
        <w:rPr>
          <w:rFonts w:ascii="Verdana" w:hAnsi="Verdana"/>
          <w:color w:val="000000"/>
          <w:sz w:val="18"/>
          <w:szCs w:val="18"/>
          <w:shd w:val="clear" w:color="auto" w:fill="FFFFFF"/>
        </w:rPr>
        <w:lastRenderedPageBreak/>
        <w:t>continues to be problematic among most resource institutions. Yet, when needed, that capacity seems to come by focusing on understanding (not efficiency) and by networking with those who practice learning.</w:t>
      </w:r>
    </w:p>
    <w:p w14:paraId="55524857" w14:textId="77777777" w:rsidR="00F36921" w:rsidRDefault="00F36921" w:rsidP="00667E1F">
      <w:pPr>
        <w:spacing w:after="0" w:line="360" w:lineRule="auto"/>
      </w:pPr>
    </w:p>
    <w:p w14:paraId="419AB355" w14:textId="77777777" w:rsidR="00F36921" w:rsidRDefault="00F36921" w:rsidP="00667E1F">
      <w:pPr>
        <w:spacing w:after="0" w:line="360" w:lineRule="auto"/>
      </w:pPr>
    </w:p>
    <w:p w14:paraId="07B3F23B" w14:textId="0426106A"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S</w:t>
      </w:r>
      <w:r>
        <w:t xml:space="preserve">tronger leadership and a commitment to learning is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7C361E">
      <w:pPr>
        <w:spacing w:after="0" w:line="360" w:lineRule="auto"/>
      </w:pPr>
    </w:p>
    <w:p w14:paraId="4C54CD6F" w14:textId="18C7715B" w:rsidR="00912438" w:rsidRDefault="003664CE" w:rsidP="007C361E">
      <w:pPr>
        <w:spacing w:after="0" w:line="360" w:lineRule="auto"/>
      </w:pPr>
      <w:r>
        <w:rPr>
          <w:i/>
          <w:iCs/>
        </w:rPr>
        <w:t>Acknowledgements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###This will be a really great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period of time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offset(log(</w:t>
      </w:r>
      <w:proofErr w:type="spellStart"/>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offset(log(</w:t>
      </w:r>
      <w:proofErr w:type="spellStart"/>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offset(log(</w:t>
      </w:r>
      <w:proofErr w:type="spellStart"/>
      <w:r w:rsidR="00DD6DD4" w:rsidRPr="00A21E51">
        <w:t>Num_quads</w:t>
      </w:r>
      <w:proofErr w:type="spellEnd"/>
      <w:r w:rsidR="00DD6DD4" w:rsidRPr="00A21E51">
        <w:t>)</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offset(log(</w:t>
      </w:r>
      <w:proofErr w:type="spellStart"/>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offset(log(</w:t>
      </w:r>
      <w:proofErr w:type="spellStart"/>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I can force the prediction and plotting for periods that were not sampled (as above, no sampling for FWC 2021 in Periods 2-11. But I don’t like predicting over a period of time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2"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r>
        <w:rPr>
          <w:color w:val="000000"/>
          <w:sz w:val="27"/>
          <w:szCs w:val="27"/>
          <w:shd w:val="clear" w:color="auto" w:fill="FFFFFF"/>
        </w:rPr>
        <w:t>ggeffects</w:t>
      </w:r>
      <w:proofErr w:type="spell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3"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4"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5"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0"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proofErr w:type="spellStart"/>
      <w:r>
        <w:rPr>
          <w:rFonts w:ascii="Arial" w:hAnsi="Arial" w:cs="Arial"/>
          <w:color w:val="222222"/>
          <w:shd w:val="clear" w:color="auto" w:fill="FFFFFF"/>
        </w:rPr>
        <w:t>Goelz</w:t>
      </w:r>
      <w:proofErr w:type="spellEnd"/>
      <w:r>
        <w:rPr>
          <w:rFonts w:ascii="Arial" w:hAnsi="Arial" w:cs="Arial"/>
          <w:color w:val="222222"/>
          <w:shd w:val="clear" w:color="auto" w:fill="FFFFFF"/>
        </w:rPr>
        <w:t>,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proofErr w:type="spellStart"/>
      <w:r>
        <w:rPr>
          <w:rFonts w:ascii="Arial" w:hAnsi="Arial" w:cs="Arial"/>
          <w:color w:val="222222"/>
          <w:shd w:val="clear" w:color="auto" w:fill="FFFFFF"/>
        </w:rPr>
        <w:t>Bersoza</w:t>
      </w:r>
      <w:proofErr w:type="spellEnd"/>
      <w:r>
        <w:rPr>
          <w:rFonts w:ascii="Arial" w:hAnsi="Arial" w:cs="Arial"/>
          <w:color w:val="222222"/>
          <w:shd w:val="clear" w:color="auto" w:fill="FFFFFF"/>
        </w:rPr>
        <w:t xml:space="preserve">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1"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 xml:space="preserve">Zu </w:t>
      </w:r>
      <w:proofErr w:type="spellStart"/>
      <w:r>
        <w:rPr>
          <w:rFonts w:ascii="Arial" w:hAnsi="Arial" w:cs="Arial"/>
          <w:color w:val="222222"/>
          <w:shd w:val="clear" w:color="auto" w:fill="FFFFFF"/>
        </w:rPr>
        <w:t>Ermgassen</w:t>
      </w:r>
      <w:proofErr w:type="spellEnd"/>
      <w:r>
        <w:rPr>
          <w:rFonts w:ascii="Arial" w:hAnsi="Arial" w:cs="Arial"/>
          <w:color w:val="222222"/>
          <w:shd w:val="clear" w:color="auto" w:fill="FFFFFF"/>
        </w:rPr>
        <w:t xml:space="preserve">, P.S., Spalding, M.D., Blake, B., Coen, L.D., </w:t>
      </w:r>
      <w:proofErr w:type="spellStart"/>
      <w:r>
        <w:rPr>
          <w:rFonts w:ascii="Arial" w:hAnsi="Arial" w:cs="Arial"/>
          <w:color w:val="222222"/>
          <w:shd w:val="clear" w:color="auto" w:fill="FFFFFF"/>
        </w:rPr>
        <w:t>Dumbauld</w:t>
      </w:r>
      <w:proofErr w:type="spellEnd"/>
      <w:r>
        <w:rPr>
          <w:rFonts w:ascii="Arial" w:hAnsi="Arial" w:cs="Arial"/>
          <w:color w:val="222222"/>
          <w:shd w:val="clear" w:color="auto" w:fill="FFFFFF"/>
        </w:rPr>
        <w:t xml:space="preserve">, B., Geiger, S., Grabowski, J.H., Grizzle, R., Luckenbach, M., McGraw, K. and Rodney, W., 2012. Historical ecology with real numbers: past and present extent and biomass of an </w:t>
      </w:r>
      <w:proofErr w:type="spellStart"/>
      <w:r>
        <w:rPr>
          <w:rFonts w:ascii="Arial" w:hAnsi="Arial" w:cs="Arial"/>
          <w:color w:val="222222"/>
          <w:shd w:val="clear" w:color="auto" w:fill="FFFFFF"/>
        </w:rPr>
        <w:t>imperilled</w:t>
      </w:r>
      <w:proofErr w:type="spellEnd"/>
      <w:r>
        <w:rPr>
          <w:rFonts w:ascii="Arial" w:hAnsi="Arial" w:cs="Arial"/>
          <w:color w:val="222222"/>
          <w:shd w:val="clear" w:color="auto" w:fill="FFFFFF"/>
        </w:rPr>
        <w:t xml:space="preserve">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12" w:author="Pine, Bill" w:date="2022-04-20T07:47:00Z" w:initials="PB">
    <w:p w14:paraId="74C4BE0B" w14:textId="7478B890" w:rsidR="006F3B81" w:rsidRDefault="006F3B81">
      <w:pPr>
        <w:pStyle w:val="CommentText"/>
      </w:pPr>
      <w:r>
        <w:rPr>
          <w:rStyle w:val="CommentReference"/>
        </w:rPr>
        <w:annotationRef/>
      </w:r>
      <w:r>
        <w:t xml:space="preserve">Need to review the </w:t>
      </w:r>
      <w:proofErr w:type="spellStart"/>
      <w:r>
        <w:t>the</w:t>
      </w:r>
      <w:proofErr w:type="spellEnd"/>
      <w:r>
        <w:t xml:space="preserve"> what barriers what bridges discussion from Gunderson/Holling</w:t>
      </w:r>
    </w:p>
  </w:comment>
  <w:comment w:id="13" w:author="Pine, Bill"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14"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5"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16"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B8D403B"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Ex w15:paraId="342BEA69" w15:done="0"/>
  <w15:commentEx w15:paraId="56CC1015" w15:done="0"/>
  <w15:commentEx w15:paraId="2ECED31E" w15:done="0"/>
  <w15:commentEx w15:paraId="74C4BE0B" w15:done="0"/>
  <w15:commentEx w15:paraId="6401C68A" w15:done="0"/>
  <w15:commentEx w15:paraId="561DF8AB" w15:done="0"/>
  <w15:commentEx w15:paraId="16641BAE" w15:done="0"/>
  <w15:commentEx w15:paraId="4E5180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0771F8" w16cex:dateUtc="2022-04-18T09:13: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3E94" w16cex:dateUtc="2022-04-20T12:11:00Z"/>
  <w16cex:commentExtensible w16cex:durableId="260A4702" w16cex:dateUtc="2022-04-20T12:46:00Z"/>
  <w16cex:commentExtensible w16cex:durableId="260A4912" w16cex:dateUtc="2022-04-20T12:55:00Z"/>
  <w16cex:commentExtensible w16cex:durableId="260A4A2D" w16cex:dateUtc="2022-04-20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B8D403B" w16cid:durableId="260771F8"/>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Id w16cid:paraId="342BEA69" w16cid:durableId="260A24AF"/>
  <w16cid:commentId w16cid:paraId="56CC1015" w16cid:durableId="260A33F2"/>
  <w16cid:commentId w16cid:paraId="2ECED31E" w16cid:durableId="260A3554"/>
  <w16cid:commentId w16cid:paraId="74C4BE0B" w16cid:durableId="260A38F4"/>
  <w16cid:commentId w16cid:paraId="6401C68A" w16cid:durableId="260A3E94"/>
  <w16cid:commentId w16cid:paraId="561DF8AB" w16cid:durableId="260A4702"/>
  <w16cid:commentId w16cid:paraId="16641BAE" w16cid:durableId="260A4912"/>
  <w16cid:commentId w16cid:paraId="4E5180A8" w16cid:durableId="260A4A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sqgFAMmBW1EtAAAA"/>
  </w:docVars>
  <w:rsids>
    <w:rsidRoot w:val="00853094"/>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5E74"/>
    <w:rsid w:val="00234B71"/>
    <w:rsid w:val="002424BA"/>
    <w:rsid w:val="0024252C"/>
    <w:rsid w:val="00246C8C"/>
    <w:rsid w:val="002626DF"/>
    <w:rsid w:val="002720C8"/>
    <w:rsid w:val="00272D80"/>
    <w:rsid w:val="002740F9"/>
    <w:rsid w:val="00277FAE"/>
    <w:rsid w:val="00283A67"/>
    <w:rsid w:val="002A6D97"/>
    <w:rsid w:val="002C1B3A"/>
    <w:rsid w:val="002C7ED3"/>
    <w:rsid w:val="002D1A2E"/>
    <w:rsid w:val="002E1880"/>
    <w:rsid w:val="002F512A"/>
    <w:rsid w:val="002F6171"/>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71766"/>
    <w:rsid w:val="008807DB"/>
    <w:rsid w:val="008842B3"/>
    <w:rsid w:val="0089381E"/>
    <w:rsid w:val="008C1C2B"/>
    <w:rsid w:val="008D2765"/>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21E51"/>
    <w:rsid w:val="00A2283D"/>
    <w:rsid w:val="00A25B18"/>
    <w:rsid w:val="00A30DF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B4898"/>
    <w:rsid w:val="00BB5D4E"/>
    <w:rsid w:val="00BC2996"/>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60AA"/>
    <w:rsid w:val="00D07B21"/>
    <w:rsid w:val="00D11ABB"/>
    <w:rsid w:val="00D143F6"/>
    <w:rsid w:val="00D23457"/>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36921"/>
    <w:rsid w:val="00F421E7"/>
    <w:rsid w:val="00F613D3"/>
    <w:rsid w:val="00F83EF2"/>
    <w:rsid w:val="00F924E2"/>
    <w:rsid w:val="00F952AC"/>
    <w:rsid w:val="00FA276E"/>
    <w:rsid w:val="00FC0A11"/>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F9E7-5BD5-46DE-87E8-FFE3F4DA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12134</TotalTime>
  <Pages>29</Pages>
  <Words>7680</Words>
  <Characters>43781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73</cp:revision>
  <dcterms:created xsi:type="dcterms:W3CDTF">2022-02-08T19:44:00Z</dcterms:created>
  <dcterms:modified xsi:type="dcterms:W3CDTF">2022-04-20T13:17:00Z</dcterms:modified>
</cp:coreProperties>
</file>