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29CA" w14:textId="77777777" w:rsidR="00490974" w:rsidRPr="001E673E" w:rsidRDefault="00490974" w:rsidP="00490974">
      <w:pPr>
        <w:keepNext/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7E141F2D" wp14:editId="64FCF616">
            <wp:extent cx="5943600" cy="5943600"/>
            <wp:effectExtent l="0" t="0" r="0" b="0"/>
            <wp:docPr id="25" name="Picture 25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scatter chart, box and whisk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0E30" w14:textId="77777777" w:rsidR="00490974" w:rsidRDefault="00490974" w:rsidP="00490974">
      <w:pPr>
        <w:suppressAutoHyphens/>
        <w:spacing w:line="240" w:lineRule="auto"/>
        <w:ind w:firstLine="0"/>
        <w:rPr>
          <w:sz w:val="22"/>
        </w:rPr>
      </w:pPr>
      <w:r w:rsidRPr="001E673E">
        <w:rPr>
          <w:szCs w:val="24"/>
        </w:rPr>
        <w:t>Figure 1</w:t>
      </w:r>
      <w:r>
        <w:rPr>
          <w:szCs w:val="24"/>
        </w:rPr>
        <w:t>1</w:t>
      </w:r>
      <w:r w:rsidRPr="001E673E">
        <w:rPr>
          <w:szCs w:val="24"/>
        </w:rPr>
        <w:t xml:space="preserve">. Live oyster spat </w:t>
      </w:r>
      <w:r w:rsidRPr="00A24ABB">
        <w:rPr>
          <w:szCs w:val="24"/>
        </w:rPr>
        <w:t xml:space="preserve">CPUE for all Apalachicola Bay study sites and number of days </w:t>
      </w:r>
      <w:r w:rsidRPr="00105D6D">
        <w:rPr>
          <w:szCs w:val="24"/>
        </w:rPr>
        <w:t xml:space="preserve">Apalachicola River discharge (measured at the Chattahoochee gauge) was below 12,000 CFS (below which inundation of floodplain is limited).    </w:t>
      </w:r>
    </w:p>
    <w:p w14:paraId="41672FB6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74"/>
    <w:rsid w:val="001A16F6"/>
    <w:rsid w:val="0049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2ADD"/>
  <w15:chartTrackingRefBased/>
  <w15:docId w15:val="{A20952E0-C2CD-4D1F-85A1-10DC3CB7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974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2022-11-05T17:17:00Z</dcterms:created>
  <dcterms:modified xsi:type="dcterms:W3CDTF">2022-11-05T17:17:00Z</dcterms:modified>
</cp:coreProperties>
</file>