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CF6B" w14:textId="77777777" w:rsidR="006975DB" w:rsidRPr="001E673E" w:rsidRDefault="006975DB" w:rsidP="006975DB">
      <w:pPr>
        <w:keepNext/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8377DE5" wp14:editId="73E574C8">
            <wp:extent cx="5943600" cy="5943600"/>
            <wp:effectExtent l="0" t="0" r="0" b="0"/>
            <wp:docPr id="3" name="Picture 3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37E0" w14:textId="075990F5" w:rsidR="006975DB" w:rsidRDefault="006975DB" w:rsidP="006975DB">
      <w:pPr>
        <w:keepLines/>
        <w:suppressAutoHyphens/>
        <w:spacing w:line="240" w:lineRule="auto"/>
        <w:ind w:firstLine="0"/>
        <w:rPr>
          <w:szCs w:val="24"/>
        </w:rPr>
      </w:pPr>
      <w:r w:rsidRPr="001E673E">
        <w:rPr>
          <w:szCs w:val="24"/>
        </w:rPr>
        <w:t>Figure 2. Publicly available fisheries-dependent data from the Florida Fish and Wildlife Conservation Commission (</w:t>
      </w:r>
      <w:r w:rsidRPr="002D62F6">
        <w:rPr>
          <w:szCs w:val="24"/>
        </w:rPr>
        <w:t>https://myfwc.com/research/saltwater/fishstats/commercial-fisheries/landings-in-florida/</w:t>
      </w:r>
      <w:r w:rsidRPr="001E673E">
        <w:rPr>
          <w:szCs w:val="24"/>
        </w:rPr>
        <w:t>)</w:t>
      </w:r>
      <w:r w:rsidRPr="008A47CF">
        <w:rPr>
          <w:szCs w:val="24"/>
        </w:rPr>
        <w:t>, 1986–</w:t>
      </w:r>
      <w:r w:rsidR="00C202E8">
        <w:rPr>
          <w:szCs w:val="24"/>
        </w:rPr>
        <w:t>2022</w:t>
      </w:r>
      <w:r w:rsidRPr="001E673E">
        <w:rPr>
          <w:szCs w:val="24"/>
        </w:rPr>
        <w:t>.</w:t>
      </w:r>
      <w:r w:rsidR="00C202E8">
        <w:rPr>
          <w:szCs w:val="24"/>
        </w:rPr>
        <w:t xml:space="preserve"> Landings data are provisional for 2022 per agency standards.</w:t>
      </w:r>
      <w:r w:rsidRPr="001E673E">
        <w:rPr>
          <w:szCs w:val="24"/>
        </w:rPr>
        <w:t xml:space="preserve"> Each row represents a different bay, and each column represents a different data category. The y</w:t>
      </w:r>
      <w:r>
        <w:rPr>
          <w:szCs w:val="24"/>
        </w:rPr>
        <w:t>-</w:t>
      </w:r>
      <w:r w:rsidRPr="001E673E">
        <w:rPr>
          <w:szCs w:val="24"/>
        </w:rPr>
        <w:t>axes differ</w:t>
      </w:r>
      <w:r w:rsidR="00CB66DC">
        <w:rPr>
          <w:szCs w:val="24"/>
        </w:rPr>
        <w:t xml:space="preserve"> by row (bay)</w:t>
      </w:r>
      <w:r w:rsidRPr="001E673E">
        <w:rPr>
          <w:szCs w:val="24"/>
        </w:rPr>
        <w:t xml:space="preserve"> because of the large differences </w:t>
      </w:r>
      <w:r>
        <w:rPr>
          <w:szCs w:val="24"/>
        </w:rPr>
        <w:t xml:space="preserve">in landings and trips </w:t>
      </w:r>
      <w:r w:rsidRPr="001E673E">
        <w:rPr>
          <w:szCs w:val="24"/>
        </w:rPr>
        <w:t>between bays.</w:t>
      </w:r>
    </w:p>
    <w:p w14:paraId="6FCC8984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wtDA3NTAyMzcxMjZW0lEKTi0uzszPAykwqgUADBkjYywAAAA="/>
  </w:docVars>
  <w:rsids>
    <w:rsidRoot w:val="006975DB"/>
    <w:rsid w:val="001A16F6"/>
    <w:rsid w:val="006975DB"/>
    <w:rsid w:val="00C202E8"/>
    <w:rsid w:val="00CB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1BE6"/>
  <w15:chartTrackingRefBased/>
  <w15:docId w15:val="{BEF158BC-4328-4C83-9ADF-FC605F23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5DB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3</cp:revision>
  <dcterms:created xsi:type="dcterms:W3CDTF">2022-11-05T17:13:00Z</dcterms:created>
  <dcterms:modified xsi:type="dcterms:W3CDTF">2023-04-01T13:12:00Z</dcterms:modified>
</cp:coreProperties>
</file>