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490F" w14:textId="77777777" w:rsidR="00B3311E" w:rsidRPr="001E673E" w:rsidRDefault="00B3311E" w:rsidP="00B3311E">
      <w:pPr>
        <w:keepNext/>
        <w:suppressAutoHyphens/>
        <w:ind w:firstLine="0"/>
        <w:rPr>
          <w:szCs w:val="24"/>
        </w:rPr>
      </w:pPr>
      <w:r>
        <w:rPr>
          <w:noProof/>
        </w:rPr>
        <w:drawing>
          <wp:inline distT="0" distB="0" distL="0" distR="0" wp14:anchorId="1DD3431F" wp14:editId="4CC2B25C">
            <wp:extent cx="5700814" cy="6596743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31" cy="660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9260" w14:textId="77777777" w:rsidR="00B3311E" w:rsidRPr="001E673E" w:rsidRDefault="00B3311E" w:rsidP="00B3311E">
      <w:pPr>
        <w:keepLines/>
        <w:suppressAutoHyphens/>
        <w:spacing w:line="240" w:lineRule="auto"/>
        <w:ind w:firstLine="0"/>
        <w:rPr>
          <w:szCs w:val="24"/>
        </w:rPr>
      </w:pPr>
      <w:r w:rsidRPr="00A24ABB">
        <w:t xml:space="preserve">Figure </w:t>
      </w:r>
      <w:r>
        <w:t>4</w:t>
      </w:r>
      <w:r w:rsidRPr="00A24ABB">
        <w:t xml:space="preserve">. Deviations in river discharge from the period of instrument records for </w:t>
      </w:r>
      <w:r>
        <w:t>the</w:t>
      </w:r>
      <w:r w:rsidRPr="00A24ABB">
        <w:t xml:space="preserve"> Apalachicola </w:t>
      </w:r>
      <w:r>
        <w:t>R</w:t>
      </w:r>
      <w:r w:rsidRPr="00A24ABB">
        <w:t>iver. Darker colors equate to larger deviations, with colors in the blue spectrum representing higher river discharge and colors in the red spectrum representing lower river discharge. White or near-white represents values within +/− 10% of the period of instrument records.</w:t>
      </w:r>
    </w:p>
    <w:p w14:paraId="4219A21E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1E"/>
    <w:rsid w:val="001A16F6"/>
    <w:rsid w:val="00B3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1457"/>
  <w15:chartTrackingRefBased/>
  <w15:docId w15:val="{8D3618B3-54C9-44E3-9BBF-931864EF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11E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2022-11-05T17:14:00Z</dcterms:created>
  <dcterms:modified xsi:type="dcterms:W3CDTF">2022-11-05T17:14:00Z</dcterms:modified>
</cp:coreProperties>
</file>