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C0AE" w14:textId="77777777" w:rsidR="00E46E05" w:rsidRDefault="00E46E05" w:rsidP="00E46E05">
      <w:pPr>
        <w:suppressAutoHyphens/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17E93BEB" wp14:editId="69AC6708">
            <wp:extent cx="5943600" cy="59436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9B5D" w14:textId="77777777" w:rsidR="00E46E05" w:rsidRDefault="00E46E05" w:rsidP="00E46E05">
      <w:pPr>
        <w:suppressAutoHyphens/>
        <w:spacing w:line="240" w:lineRule="auto"/>
        <w:ind w:firstLine="0"/>
        <w:rPr>
          <w:szCs w:val="24"/>
        </w:rPr>
      </w:pPr>
      <w:r>
        <w:rPr>
          <w:szCs w:val="24"/>
        </w:rPr>
        <w:t>Figure 8. Oyster spat</w:t>
      </w:r>
      <w:r w:rsidRPr="001E673E">
        <w:rPr>
          <w:szCs w:val="24"/>
        </w:rPr>
        <w:t xml:space="preserve"> </w:t>
      </w:r>
      <w:r>
        <w:rPr>
          <w:szCs w:val="24"/>
        </w:rPr>
        <w:t>count</w:t>
      </w:r>
      <w:r w:rsidRPr="001E673E">
        <w:rPr>
          <w:szCs w:val="24"/>
        </w:rPr>
        <w:t xml:space="preserve"> per quadrat</w:t>
      </w:r>
      <w:r>
        <w:rPr>
          <w:szCs w:val="24"/>
        </w:rPr>
        <w:t xml:space="preserve"> (CPUE)</w:t>
      </w:r>
      <w:r w:rsidRPr="001E673E">
        <w:rPr>
          <w:szCs w:val="24"/>
        </w:rPr>
        <w:t xml:space="preserve"> by </w:t>
      </w:r>
      <w:r>
        <w:rPr>
          <w:szCs w:val="24"/>
        </w:rPr>
        <w:t xml:space="preserve">site within Apalachicola Bay (each panel) and </w:t>
      </w:r>
      <w:r w:rsidRPr="001E673E">
        <w:rPr>
          <w:szCs w:val="24"/>
        </w:rPr>
        <w:t>period</w:t>
      </w:r>
      <w:r>
        <w:rPr>
          <w:szCs w:val="24"/>
        </w:rPr>
        <w:t xml:space="preserve"> (x-axis)</w:t>
      </w:r>
      <w:r w:rsidRPr="001E673E">
        <w:rPr>
          <w:szCs w:val="24"/>
        </w:rPr>
        <w:t>.</w:t>
      </w:r>
      <w:r>
        <w:rPr>
          <w:szCs w:val="24"/>
        </w:rPr>
        <w:t xml:space="preserve"> Dots represent counts over time for each project defined by color (Table 1).</w:t>
      </w:r>
      <w:r w:rsidRPr="001E673E">
        <w:rPr>
          <w:szCs w:val="24"/>
        </w:rPr>
        <w:t xml:space="preserve"> Even-number periods are winters (</w:t>
      </w:r>
      <w:r>
        <w:rPr>
          <w:szCs w:val="24"/>
        </w:rPr>
        <w:t>October-March</w:t>
      </w:r>
      <w:r w:rsidRPr="001E673E">
        <w:rPr>
          <w:szCs w:val="24"/>
        </w:rPr>
        <w:t>) beginning in 2015; odd-number periods are summers (</w:t>
      </w:r>
      <w:r>
        <w:rPr>
          <w:szCs w:val="24"/>
        </w:rPr>
        <w:t>April-September</w:t>
      </w:r>
      <w:r w:rsidRPr="001E673E">
        <w:rPr>
          <w:szCs w:val="24"/>
        </w:rPr>
        <w:t>) beginning in 2016.</w:t>
      </w:r>
      <w:r>
        <w:rPr>
          <w:szCs w:val="24"/>
        </w:rPr>
        <w:t xml:space="preserve"> Note: the first counts for projects NRDA-4044 were taken in one period after restoration for Dry Bar only and Period 5 for other sites. Project GEBF-5007 were taken one period after the restoration action. Projects NFWF-1 and NFWF-2021 began count monitoring in the same period as the restoration (see Figure 3).</w:t>
      </w:r>
    </w:p>
    <w:p w14:paraId="6ED729BA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05"/>
    <w:rsid w:val="001A16F6"/>
    <w:rsid w:val="00E4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9DE4"/>
  <w15:chartTrackingRefBased/>
  <w15:docId w15:val="{ABC0D520-A6DE-45B3-ACA1-1B91DF1B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E05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2022-11-05T17:16:00Z</dcterms:created>
  <dcterms:modified xsi:type="dcterms:W3CDTF">2022-11-05T17:16:00Z</dcterms:modified>
</cp:coreProperties>
</file>