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Newins-Ziegler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r w:rsidR="0092303B" w:rsidRPr="00CA0CE4">
        <w:rPr>
          <w:rFonts w:ascii="Times New Roman" w:hAnsi="Times New Roman"/>
          <w:i/>
        </w:rPr>
        <w:t>Acipenser oxyrinchus desotoi</w:t>
      </w:r>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Over the past century significant declines in abundance have been observed in many marine (Baum et al. 2003; Christensen et al. 2003; Myers and Worm 2003), freshwater (Duncan and Lockwood 2001; Kruk and Penczak 2003; Pitkitch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(Paragamian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Penczak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(Nehls</w:t>
      </w:r>
      <w:r w:rsidR="00E96794">
        <w:rPr>
          <w:color w:val="000000"/>
        </w:rPr>
        <w:t>e</w:t>
      </w:r>
      <w:r w:rsidR="0092303B" w:rsidRPr="00CA0CE4">
        <w:rPr>
          <w:color w:val="000000"/>
        </w:rPr>
        <w:t xml:space="preserve">n et al. 1991), shad </w:t>
      </w:r>
      <w:r w:rsidR="0092303B" w:rsidRPr="00CA0CE4">
        <w:rPr>
          <w:i/>
          <w:color w:val="000000"/>
        </w:rPr>
        <w:t>Alosa spp</w:t>
      </w:r>
      <w:r w:rsidR="005E52FF" w:rsidRPr="00CA0CE4">
        <w:rPr>
          <w:color w:val="000000"/>
        </w:rPr>
        <w:t>.</w:t>
      </w:r>
      <w:r w:rsidR="0092303B" w:rsidRPr="00CA0CE4">
        <w:rPr>
          <w:color w:val="000000"/>
        </w:rPr>
        <w:t xml:space="preserve"> (Jenkins and Burkhead 1994), and sturgeon </w:t>
      </w:r>
      <w:r w:rsidR="0092303B" w:rsidRPr="00CA0CE4">
        <w:rPr>
          <w:i/>
          <w:color w:val="000000"/>
        </w:rPr>
        <w:t>Acipenser</w:t>
      </w:r>
      <w:r w:rsidR="005E52FF" w:rsidRPr="00CA0CE4">
        <w:rPr>
          <w:color w:val="000000"/>
        </w:rPr>
        <w:t xml:space="preserve"> spp. </w:t>
      </w:r>
      <w:r w:rsidR="0092303B" w:rsidRPr="00CA0CE4">
        <w:rPr>
          <w:color w:val="000000"/>
        </w:rPr>
        <w:t>(</w:t>
      </w:r>
      <w:r w:rsidR="0092303B" w:rsidRPr="00CA0CE4">
        <w:rPr>
          <w:iCs/>
        </w:rPr>
        <w:t>Pitkitch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Penczak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r w:rsidRPr="00CA0CE4">
        <w:rPr>
          <w:rFonts w:ascii="Times New Roman" w:hAnsi="Times New Roman"/>
          <w:i/>
          <w:iCs/>
          <w:sz w:val="24"/>
          <w:szCs w:val="24"/>
        </w:rPr>
        <w:t>Acipenser oxyrinchus desotoi</w:t>
      </w:r>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r w:rsidR="003D0D0C" w:rsidRPr="00CA0CE4">
        <w:rPr>
          <w:rFonts w:ascii="Times New Roman" w:hAnsi="Times New Roman"/>
          <w:sz w:val="24"/>
          <w:szCs w:val="24"/>
        </w:rPr>
        <w:t>Clugston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Crateau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Crateau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Leitman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Sulak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30AB64B4"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was updated to represent multi-stanza recruitment (Hilborn and Walters 1992;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65845" w:rsidRPr="00401399">
        <w:rPr>
          <w:rFonts w:ascii="Times New Roman" w:hAnsi="Times New Roman"/>
          <w:color w:val="000000"/>
          <w:sz w:val="24"/>
          <w:szCs w:val="24"/>
        </w:rPr>
        <w:t>:</w:t>
      </w:r>
      <w:r w:rsidR="006D3F68" w:rsidRPr="00401399">
        <w:rPr>
          <w:rFonts w:ascii="Times New Roman" w:hAnsi="Times New Roman"/>
          <w:color w:val="000000"/>
          <w:sz w:val="24"/>
          <w:szCs w:val="24"/>
        </w:rPr>
        <w:t xml:space="preserve"> Lorenzen 2005</w:t>
      </w:r>
      <w:r w:rsidR="00870F1D" w:rsidRPr="00401399">
        <w:rPr>
          <w:rFonts w:ascii="Times New Roman" w:hAnsi="Times New Roman"/>
          <w:color w:val="000000"/>
          <w:sz w:val="24"/>
          <w:szCs w:val="24"/>
        </w:rPr>
        <w:t>, see 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B5397D"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B5397D"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(Lorenzen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B5397D"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t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and skip spawning effects (</w:t>
      </w:r>
      <w:r w:rsidR="009534E8" w:rsidRPr="00CA0CE4">
        <w:rPr>
          <w:rFonts w:ascii="Times New Roman" w:hAnsi="Times New Roman"/>
          <w:i/>
          <w:color w:val="000000"/>
          <w:sz w:val="24"/>
          <w:szCs w:val="24"/>
        </w:rPr>
        <w:t>Sk</w:t>
      </w:r>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5103149E"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w:t>
      </w:r>
      <w:bookmarkStart w:id="0" w:name="_GoBack"/>
      <w:bookmarkEnd w:id="0"/>
      <w:r w:rsidRPr="00CA0CE4">
        <w:rPr>
          <w:rFonts w:ascii="Times New Roman" w:hAnsi="Times New Roman"/>
          <w:color w:val="000000"/>
          <w:sz w:val="24"/>
          <w:szCs w:val="24"/>
        </w:rPr>
        <w:t>ated the</w:t>
      </w:r>
      <w:r w:rsidR="009534E8" w:rsidRPr="00CA0CE4">
        <w:rPr>
          <w:rFonts w:ascii="Times New Roman" w:hAnsi="Times New Roman"/>
          <w:color w:val="000000"/>
          <w:sz w:val="24"/>
          <w:szCs w:val="24"/>
        </w:rPr>
        <w:t xml:space="preserve"> Goodyear compensation ratio (</w:t>
      </w:r>
      <w:r w:rsidR="009534E8" w:rsidRPr="00CA0CE4">
        <w:rPr>
          <w:rFonts w:ascii="Times New Roman" w:hAnsi="Times New Roman"/>
          <w:i/>
          <w:color w:val="000000"/>
          <w:sz w:val="24"/>
          <w:szCs w:val="24"/>
        </w:rPr>
        <w:t xml:space="preserve">recK; </w:t>
      </w:r>
      <w:r w:rsidR="009534E8" w:rsidRPr="00CA0CE4">
        <w:rPr>
          <w:rFonts w:ascii="Times New Roman" w:hAnsi="Times New Roman"/>
          <w:color w:val="000000"/>
          <w:sz w:val="24"/>
          <w:szCs w:val="24"/>
        </w:rPr>
        <w:t>Goodyear 1977; 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r w:rsidR="009534E8" w:rsidRPr="00CA0CE4">
        <w:rPr>
          <w:rFonts w:ascii="Times New Roman" w:hAnsi="Times New Roman"/>
          <w:i/>
          <w:color w:val="000000"/>
          <w:sz w:val="24"/>
          <w:szCs w:val="24"/>
        </w:rPr>
        <w:t>recK</w:t>
      </w:r>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Wooley and Crateau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Crateau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34D6FEF2"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 xml:space="preserve">annual </w:t>
      </w:r>
      <w:r w:rsidR="0027718E">
        <w:rPr>
          <w:rFonts w:ascii="Times New Roman" w:hAnsi="Times New Roman"/>
          <w:color w:val="000000"/>
          <w:sz w:val="24"/>
          <w:szCs w:val="24"/>
        </w:rPr>
        <w:t xml:space="preserve">apical </w:t>
      </w:r>
      <w:r w:rsidR="006D3F68">
        <w:rPr>
          <w:rFonts w:ascii="Times New Roman" w:hAnsi="Times New Roman"/>
          <w:color w:val="000000"/>
          <w:sz w:val="24"/>
          <w:szCs w:val="24"/>
        </w:rPr>
        <w:t>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(Sulak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r w:rsidR="00CF11FB">
        <w:rPr>
          <w:rFonts w:ascii="Times New Roman" w:hAnsi="Times New Roman"/>
          <w:color w:val="000000"/>
          <w:sz w:val="24"/>
          <w:szCs w:val="24"/>
        </w:rPr>
        <w:t xml:space="preserve"> = </w:t>
      </w:r>
      <w:r w:rsidR="0047160C">
        <w:rPr>
          <w:rFonts w:ascii="Times New Roman" w:hAnsi="Times New Roman"/>
          <w:color w:val="000000"/>
          <w:sz w:val="24"/>
          <w:szCs w:val="24"/>
        </w:rPr>
        <w:t>[boom interval - anomoly</w:t>
      </w:r>
      <w:r w:rsidR="0047160C" w:rsidRPr="00112112">
        <w:rPr>
          <w:rFonts w:ascii="Times New Roman" w:hAnsi="Times New Roman"/>
          <w:color w:val="000000"/>
          <w:sz w:val="24"/>
          <w:szCs w:val="24"/>
          <w:vertAlign w:val="subscript"/>
        </w:rPr>
        <w:t>strong</w:t>
      </w:r>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(Holtgren</w:t>
      </w:r>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37C7F40B"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apical </w:t>
      </w:r>
      <w:r w:rsidR="00F02548">
        <w:rPr>
          <w:rFonts w:ascii="Times New Roman" w:hAnsi="Times New Roman"/>
          <w:color w:val="000000"/>
          <w:sz w:val="24"/>
          <w:szCs w:val="24"/>
        </w:rPr>
        <w:lastRenderedPageBreak/>
        <w:t xml:space="preserve">exploitation rate, 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r w:rsidR="00DD2617">
        <w:rPr>
          <w:rFonts w:ascii="Times New Roman" w:hAnsi="Times New Roman"/>
          <w:color w:val="000000"/>
          <w:sz w:val="24"/>
        </w:rPr>
        <w:t xml:space="preserve">apical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r w:rsidR="00A97912" w:rsidRPr="006964B1">
        <w:rPr>
          <w:rFonts w:ascii="Times New Roman" w:hAnsi="Times New Roman"/>
          <w:color w:val="000000"/>
          <w:sz w:val="24"/>
        </w:rPr>
        <w:lastRenderedPageBreak/>
        <w:t>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233BB5FB"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 xml:space="preserve">An import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166A7021"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787CB576"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460EC8">
        <w:rPr>
          <w:rFonts w:ascii="Times New Roman" w:hAnsi="Times New Roman" w:cs="Times New Roman"/>
          <w:sz w:val="23"/>
          <w:szCs w:val="23"/>
        </w:rPr>
        <w:t>--</w:t>
      </w:r>
      <w:r w:rsidR="00A729F0" w:rsidRPr="00DA3FD8">
        <w:rPr>
          <w:rFonts w:ascii="Times New Roman" w:hAnsi="Times New Roman" w:cs="Times New Roman"/>
          <w:sz w:val="23"/>
          <w:szCs w:val="23"/>
        </w:rPr>
        <w:t>the Goodyear compensation ratio (</w:t>
      </w:r>
      <w:r w:rsidR="00A729F0" w:rsidRPr="00DA3FD8">
        <w:rPr>
          <w:rFonts w:ascii="Times New Roman" w:hAnsi="Times New Roman" w:cs="Times New Roman"/>
          <w:i/>
          <w:iCs/>
          <w:sz w:val="23"/>
          <w:szCs w:val="23"/>
        </w:rPr>
        <w:t>recK</w:t>
      </w:r>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A729F0" w:rsidRPr="00DA3FD8">
        <w:rPr>
          <w:rFonts w:ascii="Times New Roman" w:hAnsi="Times New Roman" w:cs="Times New Roman"/>
          <w:i/>
          <w:iCs/>
          <w:sz w:val="23"/>
          <w:szCs w:val="23"/>
        </w:rPr>
        <w:t xml:space="preserve">recK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r w:rsidR="00A729F0" w:rsidRPr="00DA3FD8">
        <w:rPr>
          <w:rFonts w:ascii="Times New Roman" w:hAnsi="Times New Roman" w:cs="Times New Roman"/>
          <w:i/>
          <w:iCs/>
          <w:color w:val="auto"/>
          <w:sz w:val="23"/>
          <w:szCs w:val="23"/>
        </w:rPr>
        <w:t xml:space="preserve">recK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w:t>
      </w:r>
    </w:p>
    <w:p w14:paraId="522EA63D" w14:textId="77777777" w:rsidR="00A729F0" w:rsidRPr="00DA3FD8" w:rsidRDefault="00A729F0" w:rsidP="00DA3FD8">
      <w:pPr>
        <w:spacing w:line="480" w:lineRule="auto"/>
        <w:rPr>
          <w:rFonts w:ascii="Times New Roman" w:hAnsi="Times New Roman"/>
          <w:i/>
          <w:iCs/>
          <w:sz w:val="24"/>
          <w:szCs w:val="24"/>
        </w:rPr>
      </w:pP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w:t>
      </w:r>
      <w:r w:rsidR="00B5547F">
        <w:rPr>
          <w:rFonts w:ascii="Times New Roman" w:hAnsi="Times New Roman"/>
          <w:color w:val="000000"/>
          <w:sz w:val="24"/>
          <w:szCs w:val="24"/>
        </w:rPr>
        <w:lastRenderedPageBreak/>
        <w:t>metrics could be defined as part of the recovery goals, then this model could become part of a 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3FDD2CD7" w:rsidR="00466148" w:rsidRDefault="00CB7E0E" w:rsidP="00705ED2">
      <w:pPr>
        <w:spacing w:line="480" w:lineRule="auto"/>
        <w:ind w:firstLine="720"/>
        <w:rPr>
          <w:rFonts w:ascii="Times New Roman" w:hAnsi="Times New Roman"/>
          <w:color w:val="000000"/>
          <w:sz w:val="24"/>
          <w:szCs w:val="24"/>
        </w:rPr>
      </w:pPr>
      <w:commentRangeStart w:id="1"/>
      <w:r>
        <w:rPr>
          <w:rFonts w:ascii="Times New Roman" w:hAnsi="Times New Roman"/>
          <w:color w:val="000000"/>
          <w:sz w:val="24"/>
          <w:szCs w:val="24"/>
        </w:rPr>
        <w:t xml:space="preserve">Explicit </w:t>
      </w:r>
      <w:commentRangeEnd w:id="1"/>
      <w:r w:rsidR="006840F4">
        <w:rPr>
          <w:rStyle w:val="CommentReference"/>
        </w:rPr>
        <w:commentReference w:id="1"/>
      </w:r>
      <w:r>
        <w:rPr>
          <w:rFonts w:ascii="Times New Roman" w:hAnsi="Times New Roman"/>
          <w:color w:val="000000"/>
          <w:sz w:val="24"/>
          <w:szCs w:val="24"/>
        </w:rPr>
        <w:t xml:space="preserve">and likely multiple recovery criteria are essential for differentiating alternative management actions.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r w:rsidR="008005AC">
        <w:rPr>
          <w:rFonts w:ascii="Times New Roman" w:hAnsi="Times New Roman"/>
          <w:color w:val="000000"/>
          <w:sz w:val="24"/>
          <w:szCs w:val="24"/>
        </w:rPr>
        <w:t xml:space="preserve">can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1859kg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specifically because of ambiguity regarding whether recovery objectives should reference carrying capacity in its present or historic form. If the goal is current carrying capacity, a small sustainable fishery is plausible. W</w:t>
      </w:r>
      <w:r w:rsidR="003F2CF8">
        <w:rPr>
          <w:rFonts w:ascii="Times New Roman" w:hAnsi="Times New Roman"/>
          <w:color w:val="000000"/>
          <w:sz w:val="24"/>
          <w:szCs w:val="24"/>
        </w:rPr>
        <w:t xml:space="preserve">hereas recovery to historic carrying capacity will not likely soon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to dam con</w:t>
      </w:r>
      <w:r w:rsidR="00931ADD">
        <w:rPr>
          <w:rFonts w:ascii="Times New Roman" w:hAnsi="Times New Roman"/>
          <w:color w:val="000000"/>
          <w:sz w:val="24"/>
          <w:szCs w:val="24"/>
        </w:rPr>
        <w:t>struction</w:t>
      </w:r>
      <w:r w:rsidR="008005AC">
        <w:rPr>
          <w:rFonts w:ascii="Times New Roman" w:hAnsi="Times New Roman"/>
          <w:color w:val="000000"/>
          <w:sz w:val="24"/>
          <w:szCs w:val="24"/>
        </w:rPr>
        <w:t xml:space="preserv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015DEBFE" w:rsidR="00AA5087" w:rsidRDefault="00B24DC6" w:rsidP="008D673D">
      <w:pPr>
        <w:spacing w:line="480" w:lineRule="auto"/>
        <w:ind w:firstLine="720"/>
        <w:rPr>
          <w:rFonts w:ascii="Times New Roman" w:hAnsi="Times New Roman"/>
          <w:color w:val="000000"/>
          <w:sz w:val="24"/>
          <w:szCs w:val="24"/>
        </w:rPr>
      </w:pPr>
      <w:commentRangeStart w:id="2"/>
      <w:r w:rsidRPr="00CA0CE4">
        <w:rPr>
          <w:rFonts w:ascii="Times New Roman" w:hAnsi="Times New Roman"/>
          <w:color w:val="000000"/>
          <w:sz w:val="24"/>
          <w:szCs w:val="24"/>
        </w:rPr>
        <w:t xml:space="preserve">In </w:t>
      </w:r>
      <w:commentRangeEnd w:id="2"/>
      <w:r w:rsidR="003F2FF0">
        <w:rPr>
          <w:rStyle w:val="CommentReference"/>
        </w:rPr>
        <w:commentReference w:id="2"/>
      </w:r>
      <w:r w:rsidRPr="00CA0CE4">
        <w:rPr>
          <w:rFonts w:ascii="Times New Roman" w:hAnsi="Times New Roman"/>
          <w:color w:val="000000"/>
          <w:sz w:val="24"/>
          <w:szCs w:val="24"/>
        </w:rPr>
        <w:t xml:space="preserve">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w:t>
      </w:r>
      <w:r w:rsidR="00CE41F3" w:rsidRPr="00CA0CE4">
        <w:rPr>
          <w:rFonts w:ascii="Times New Roman" w:hAnsi="Times New Roman"/>
          <w:color w:val="000000"/>
          <w:sz w:val="24"/>
          <w:szCs w:val="24"/>
        </w:rPr>
        <w:lastRenderedPageBreak/>
        <w:t>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(Lorenzen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long-term recovery could be hampered</w:t>
      </w:r>
      <w:r w:rsidR="00EA7F6F">
        <w:rPr>
          <w:rFonts w:ascii="Times New Roman" w:hAnsi="Times New Roman"/>
          <w:color w:val="000000"/>
          <w:sz w:val="24"/>
          <w:szCs w:val="24"/>
        </w:rPr>
        <w:t xml:space="preserve">. </w:t>
      </w:r>
      <w:r w:rsidR="000B024F">
        <w:rPr>
          <w:rFonts w:ascii="Times New Roman" w:hAnsi="Times New Roman"/>
          <w:color w:val="000000"/>
          <w:sz w:val="24"/>
          <w:szCs w:val="24"/>
        </w:rPr>
        <w:t xml:space="preserve">There is precedent for using stocking in sturgeon recovery—as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A. fulvescens</w:t>
      </w:r>
      <w:r w:rsidR="00400271">
        <w:rPr>
          <w:rFonts w:ascii="Times New Roman" w:hAnsi="Times New Roman"/>
          <w:color w:val="000000"/>
          <w:sz w:val="24"/>
          <w:szCs w:val="24"/>
        </w:rPr>
        <w:t xml:space="preserve"> (Schram et al. 1999; Bezold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A. transmontanus</w:t>
      </w:r>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r w:rsidR="000B024F">
        <w:rPr>
          <w:rFonts w:ascii="Times New Roman" w:hAnsi="Times New Roman"/>
          <w:color w:val="000000"/>
          <w:sz w:val="24"/>
          <w:szCs w:val="24"/>
        </w:rPr>
        <w:t xml:space="preserve">may be construed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r w:rsidR="000B024F">
        <w:rPr>
          <w:rFonts w:ascii="Times New Roman" w:hAnsi="Times New Roman"/>
          <w:color w:val="000000"/>
          <w:sz w:val="24"/>
          <w:szCs w:val="24"/>
        </w:rPr>
        <w:t xml:space="preserve">And again, the efficacy of stocking depends on the specific recovery metrics—numerical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71C3AAE9"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 xml:space="preserve">The failure of exploitation </w:t>
      </w:r>
      <w:r w:rsidRPr="00CA0CE4">
        <w:rPr>
          <w:rFonts w:ascii="Times New Roman" w:hAnsi="Times New Roman"/>
          <w:color w:val="000000"/>
          <w:sz w:val="24"/>
          <w:szCs w:val="24"/>
        </w:rPr>
        <w:lastRenderedPageBreak/>
        <w:t>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r w:rsidR="00743B86">
        <w:rPr>
          <w:rFonts w:ascii="Times New Roman" w:hAnsi="Times New Roman"/>
          <w:color w:val="000000"/>
          <w:sz w:val="24"/>
          <w:szCs w:val="24"/>
        </w:rPr>
        <w:t>Beamesderfer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r w:rsidR="00DC34F3" w:rsidRPr="007E7C8E">
        <w:rPr>
          <w:rFonts w:ascii="Times New Roman" w:hAnsi="Times New Roman"/>
          <w:sz w:val="24"/>
          <w:szCs w:val="24"/>
        </w:rPr>
        <w:t>Vélez-Espino and Koops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61967E04"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5C6E170B"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A. oxyrinchus</w:t>
      </w:r>
      <w:r w:rsidR="00170B13">
        <w:rPr>
          <w:rFonts w:ascii="Times New Roman" w:hAnsi="Times New Roman"/>
          <w:color w:val="000000"/>
          <w:sz w:val="24"/>
          <w:szCs w:val="24"/>
        </w:rPr>
        <w:t xml:space="preserve"> </w:t>
      </w:r>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recover in </w:t>
      </w:r>
      <w:r w:rsidRPr="00CA0CE4">
        <w:rPr>
          <w:rFonts w:ascii="Times New Roman" w:hAnsi="Times New Roman"/>
          <w:color w:val="000000"/>
          <w:sz w:val="24"/>
          <w:szCs w:val="24"/>
        </w:rPr>
        <w:lastRenderedPageBreak/>
        <w:t>advance of the biomass and reproductive capacity of the population, meaning that a population 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77777777" w:rsidR="0073619D" w:rsidRDefault="007E1CA6" w:rsidP="0073619D">
      <w:pPr>
        <w:spacing w:line="480" w:lineRule="auto"/>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 system (Paragamian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r w:rsidR="00F5191C">
        <w:rPr>
          <w:rFonts w:ascii="Times New Roman" w:hAnsi="Times New Roman"/>
          <w:color w:val="000000"/>
          <w:sz w:val="24"/>
          <w:szCs w:val="24"/>
        </w:rPr>
        <w:t>Rieman and Beamesderfer</w:t>
      </w:r>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r w:rsidR="00341A9A">
        <w:rPr>
          <w:rFonts w:ascii="Times New Roman" w:hAnsi="Times New Roman"/>
          <w:color w:val="000000"/>
          <w:sz w:val="24"/>
          <w:szCs w:val="24"/>
        </w:rPr>
        <w:t>Boreman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r w:rsidR="00711F19" w:rsidRPr="00096DF4">
        <w:rPr>
          <w:rFonts w:ascii="Times New Roman" w:hAnsi="Times New Roman"/>
          <w:sz w:val="24"/>
          <w:szCs w:val="24"/>
        </w:rPr>
        <w:t>Vélez-Espino and Koops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001C">
        <w:rPr>
          <w:rFonts w:ascii="Times New Roman" w:hAnsi="Times New Roman"/>
          <w:color w:val="000000"/>
          <w:sz w:val="24"/>
          <w:szCs w:val="24"/>
        </w:rPr>
        <w:t xml:space="preserve">Beamesderfer et al. (2007) found that adding additional mortality of 10% over the life-span of Green Sturgeon </w:t>
      </w:r>
      <w:r w:rsidR="0027001C" w:rsidRPr="004D355B">
        <w:rPr>
          <w:rFonts w:ascii="Times New Roman" w:hAnsi="Times New Roman"/>
          <w:i/>
          <w:color w:val="000000"/>
          <w:sz w:val="24"/>
          <w:szCs w:val="24"/>
        </w:rPr>
        <w:t>A. medirostris</w:t>
      </w:r>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w:t>
      </w:r>
      <w:r w:rsidR="00533EE6">
        <w:rPr>
          <w:rFonts w:ascii="Times New Roman" w:hAnsi="Times New Roman"/>
          <w:color w:val="000000"/>
          <w:sz w:val="24"/>
          <w:szCs w:val="24"/>
        </w:rPr>
        <w:lastRenderedPageBreak/>
        <w:t>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w:t>
      </w:r>
      <w:r w:rsidR="008B338E">
        <w:rPr>
          <w:rFonts w:ascii="Times New Roman" w:hAnsi="Times New Roman"/>
          <w:sz w:val="24"/>
        </w:rPr>
        <w:lastRenderedPageBreak/>
        <w:t xml:space="preserve">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Auer and Baker 2002; Braaten et al. 2008; Mailhot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587D8A98"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failed recruitment and ultimate decline of the Kootenai River white sturgeon population (Paragamian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AA5087">
        <w:rPr>
          <w:rFonts w:ascii="Times New Roman" w:hAnsi="Times New Roman"/>
          <w:sz w:val="24"/>
          <w:szCs w:val="24"/>
        </w:rPr>
        <w:t xml:space="preserve"> </w:t>
      </w:r>
      <w:r w:rsidR="00EC7961">
        <w:rPr>
          <w:rFonts w:ascii="Times New Roman" w:hAnsi="Times New Roman"/>
          <w:sz w:val="24"/>
          <w:szCs w:val="24"/>
        </w:rPr>
        <w:t xml:space="preserve">Hydroelectric dam operations may have an effect of both sturgeon spawning behavior (Auer 1996) and </w:t>
      </w:r>
      <w:r w:rsidR="00EC7961">
        <w:rPr>
          <w:rFonts w:ascii="Times New Roman" w:hAnsi="Times New Roman"/>
          <w:sz w:val="24"/>
          <w:szCs w:val="24"/>
        </w:rPr>
        <w:lastRenderedPageBreak/>
        <w:t>abundance (Haxton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Sulak 20</w:t>
      </w:r>
      <w:r w:rsidR="00531A24">
        <w:rPr>
          <w:rFonts w:ascii="Times New Roman" w:hAnsi="Times New Roman"/>
          <w:sz w:val="24"/>
          <w:szCs w:val="24"/>
        </w:rPr>
        <w:t>12</w:t>
      </w:r>
      <w:r w:rsidR="00531A24" w:rsidRPr="00CA0CE4">
        <w:rPr>
          <w:rFonts w:ascii="Times New Roman" w:hAnsi="Times New Roman"/>
          <w:sz w:val="24"/>
          <w:szCs w:val="24"/>
        </w:rPr>
        <w:t>) and Altamaha River</w:t>
      </w:r>
      <w:r w:rsidR="00C75163">
        <w:rPr>
          <w:rFonts w:ascii="Times New Roman" w:hAnsi="Times New Roman"/>
          <w:sz w:val="24"/>
          <w:szCs w:val="24"/>
        </w:rPr>
        <w:t xml:space="preserve"> (Georgia)</w:t>
      </w:r>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(Schueller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w:t>
      </w:r>
      <w:r w:rsidR="007A4065">
        <w:rPr>
          <w:rFonts w:ascii="Times New Roman" w:hAnsi="Times New Roman"/>
          <w:color w:val="000000"/>
          <w:sz w:val="24"/>
          <w:szCs w:val="24"/>
        </w:rPr>
        <w:lastRenderedPageBreak/>
        <w:t>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Gila cypha</w:t>
      </w:r>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Melis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Kaeser,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Baum, J.K., R.A. Myers, D.G. Kehler,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Beamesderfer,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Sulak.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Hatin, J. E. Hightower, K. McKown, K. J. Sulak, A. W. Kahnle,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Bezold,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r w:rsidRPr="00017B43">
        <w:rPr>
          <w:rFonts w:ascii="Times New Roman" w:hAnsi="Times New Roman" w:cs="Times New Roman"/>
          <w:sz w:val="24"/>
          <w:szCs w:val="24"/>
        </w:rPr>
        <w:t>Boreman,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r>
        <w:rPr>
          <w:rFonts w:ascii="Times New Roman" w:hAnsi="Times New Roman" w:cs="Times New Roman"/>
          <w:sz w:val="24"/>
          <w:szCs w:val="24"/>
        </w:rPr>
        <w:t>Braaton</w:t>
      </w:r>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Holte, R. D. Lott, W. Viste, T. F. Brandt, R. G. Legare.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Lorenzen, R. N. Ahrens, L. Barbieri, and K. M. Leber.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r w:rsidRPr="00C65845">
        <w:rPr>
          <w:rFonts w:ascii="Times New Roman" w:hAnsi="Times New Roman"/>
          <w:color w:val="222222"/>
          <w:sz w:val="24"/>
          <w:szCs w:val="24"/>
          <w:shd w:val="clear" w:color="auto" w:fill="FFFFFF"/>
        </w:rPr>
        <w:t xml:space="preserve">Lorenzen,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Sciaenops ocellatus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Christensen V, S. Guénette,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r w:rsidRPr="00A64186">
        <w:rPr>
          <w:rFonts w:ascii="Times New Roman" w:hAnsi="Times New Roman"/>
          <w:sz w:val="24"/>
          <w:szCs w:val="24"/>
        </w:rPr>
        <w:t xml:space="preserve">Clugston, J. P., A. M. Foster, and S. H. Carr. 1995. </w:t>
      </w:r>
      <w:r w:rsidR="00303B4F">
        <w:rPr>
          <w:rFonts w:ascii="Times New Roman" w:hAnsi="Times New Roman"/>
          <w:sz w:val="24"/>
          <w:szCs w:val="24"/>
        </w:rPr>
        <w:t>Gulf Sturgeon</w:t>
      </w:r>
      <w:r w:rsidRPr="00A64186">
        <w:rPr>
          <w:rFonts w:ascii="Times New Roman" w:hAnsi="Times New Roman"/>
          <w:sz w:val="24"/>
          <w:szCs w:val="24"/>
        </w:rPr>
        <w:t xml:space="preserve">, </w:t>
      </w:r>
      <w:r w:rsidRPr="008A46F4">
        <w:rPr>
          <w:rFonts w:ascii="Times New Roman" w:hAnsi="Times New Roman"/>
          <w:i/>
          <w:sz w:val="24"/>
          <w:szCs w:val="24"/>
        </w:rPr>
        <w:t>Acipenser oxyrinchus desotoi</w:t>
      </w:r>
      <w:r w:rsidRPr="00A64186">
        <w:rPr>
          <w:rFonts w:ascii="Times New Roman" w:hAnsi="Times New Roman"/>
          <w:sz w:val="24"/>
          <w:szCs w:val="24"/>
        </w:rPr>
        <w:t>, in the Suwannee River, Florida, USA. Pages 215-224 in A. D. Gershanovich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r>
        <w:rPr>
          <w:rFonts w:ascii="Times New Roman" w:hAnsi="Times New Roman"/>
          <w:sz w:val="24"/>
          <w:szCs w:val="24"/>
        </w:rPr>
        <w:t>S.A.</w:t>
      </w:r>
      <w:r w:rsidRPr="00017B43">
        <w:rPr>
          <w:rFonts w:ascii="Times New Roman" w:hAnsi="Times New Roman"/>
          <w:sz w:val="24"/>
          <w:szCs w:val="24"/>
        </w:rPr>
        <w:t>Wehrell,</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Beardsall,</w:t>
      </w:r>
      <w:r>
        <w:rPr>
          <w:rFonts w:ascii="Times New Roman" w:hAnsi="Times New Roman"/>
          <w:sz w:val="24"/>
          <w:szCs w:val="24"/>
        </w:rPr>
        <w:t>L.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r w:rsidRPr="00017B43">
        <w:rPr>
          <w:rFonts w:ascii="Times New Roman" w:hAnsi="Times New Roman"/>
          <w:sz w:val="24"/>
          <w:szCs w:val="24"/>
        </w:rPr>
        <w:t>Ceapa,</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r w:rsidRPr="00017B43">
        <w:rPr>
          <w:rFonts w:ascii="Times New Roman" w:hAnsi="Times New Roman"/>
          <w:sz w:val="24"/>
          <w:szCs w:val="24"/>
        </w:rPr>
        <w:t>Stokesbury,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r w:rsidRPr="00017B43">
        <w:rPr>
          <w:rFonts w:ascii="Times New Roman" w:hAnsi="Times New Roman"/>
          <w:i/>
          <w:sz w:val="24"/>
          <w:szCs w:val="24"/>
        </w:rPr>
        <w:t>Acipenser oxyrinchus</w:t>
      </w:r>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Jordaan,</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r w:rsidRPr="00017B43">
        <w:rPr>
          <w:rFonts w:ascii="Times New Roman" w:hAnsi="Times New Roman"/>
          <w:sz w:val="24"/>
          <w:szCs w:val="24"/>
        </w:rPr>
        <w:t>McKown,</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Masters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 Dutterer,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W. Ziewitz,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Parauka.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Goodwin, N. B., A. Grant, A. L. Perry, N. K. Dulvy,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Hocutt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Grant, W. S., J. Jaspeter, D. Bekkevold, and M. Adkinson.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M. R., J. Repka, C. T. Robertson, D.H. Secor,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r w:rsidRPr="00017B43">
        <w:rPr>
          <w:rFonts w:ascii="Times New Roman" w:hAnsi="Times New Roman" w:cs="Times New Roman"/>
        </w:rPr>
        <w:t>Haxton,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Hilton, E. J., B. Kynard, M.T. Balazik, A. Z. Horodosky, and C. B. Dillman. 2016. Review of the biology, fisheries, and conservation status of the Atlantic Sturgeon, (</w:t>
      </w:r>
      <w:r w:rsidRPr="00017B43">
        <w:rPr>
          <w:rFonts w:ascii="Times New Roman" w:hAnsi="Times New Roman"/>
          <w:i/>
          <w:color w:val="000000"/>
          <w:sz w:val="24"/>
          <w:szCs w:val="24"/>
        </w:rPr>
        <w:t>Acipenser oxyrinchus oxyrinchus</w:t>
      </w:r>
      <w:r>
        <w:rPr>
          <w:rFonts w:ascii="Times New Roman" w:hAnsi="Times New Roman"/>
          <w:color w:val="000000"/>
          <w:sz w:val="24"/>
          <w:szCs w:val="24"/>
        </w:rPr>
        <w:t xml:space="preserve"> Mitchill,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Holtgren, J. M., S. A. Ogren, A. J. Paquet, and S. Fajfer.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r w:rsidRPr="00A64186">
        <w:rPr>
          <w:rFonts w:ascii="Times New Roman" w:hAnsi="Times New Roman"/>
          <w:i/>
          <w:color w:val="000000"/>
          <w:sz w:val="24"/>
          <w:szCs w:val="24"/>
        </w:rPr>
        <w:t>Acipenser oxyrinchus desotoi</w:t>
      </w:r>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Irelands, S.C., R. C. P. Beamesderfer, V. L. Paragamian, V. D. Wakkinen, and J. T. Siple. 2002. Success of hatchery-reared juvenile White Sturgeon (</w:t>
      </w:r>
      <w:r w:rsidRPr="00017B43">
        <w:rPr>
          <w:rFonts w:ascii="Times New Roman" w:hAnsi="Times New Roman"/>
          <w:i/>
          <w:color w:val="000000"/>
          <w:sz w:val="24"/>
          <w:szCs w:val="24"/>
        </w:rPr>
        <w:t>Acipenser transmontanus</w:t>
      </w:r>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LaPan, R. M. Klindt,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Penczak. 2003. Impoundment impact on populations of facultative riverine fish. </w:t>
      </w:r>
      <w:r w:rsidRPr="00AD60E6">
        <w:rPr>
          <w:rFonts w:ascii="Times New Roman" w:hAnsi="Times New Roman"/>
          <w:sz w:val="24"/>
          <w:szCs w:val="24"/>
        </w:rPr>
        <w:t>Annales De Limnologie-International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Branchaud,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r w:rsidRPr="00AD60E6">
        <w:rPr>
          <w:rFonts w:ascii="Times New Roman" w:hAnsi="Times New Roman"/>
          <w:i/>
          <w:color w:val="000000"/>
          <w:sz w:val="24"/>
          <w:szCs w:val="24"/>
        </w:rPr>
        <w:t>Acipenser fulvescens</w:t>
      </w:r>
      <w:r w:rsidRPr="00A64186">
        <w:rPr>
          <w:rFonts w:ascii="Times New Roman" w:hAnsi="Times New Roman"/>
          <w:color w:val="000000"/>
          <w:sz w:val="24"/>
          <w:szCs w:val="24"/>
        </w:rPr>
        <w:t>) in Des Prairies and L'Assomption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Leitman, S., W. E. Pine, III, and G. Kiker.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Mace, P.M., Gregory, D., Ehrhardt, N., Fisher, M., Goodyear, P., Muller, R., Powers, J., Rosenberg, A., Shepherd, J., Vaughan, D. and Atran,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r w:rsidRPr="00B553E8">
        <w:rPr>
          <w:rFonts w:ascii="Times New Roman" w:hAnsi="Times New Roman"/>
          <w:color w:val="000000"/>
          <w:sz w:val="24"/>
          <w:szCs w:val="24"/>
        </w:rPr>
        <w:t>Mailhot</w:t>
      </w:r>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r w:rsidR="00A7240B" w:rsidRPr="00017B43">
        <w:rPr>
          <w:rFonts w:ascii="Times New Roman" w:hAnsi="Times New Roman"/>
          <w:i/>
          <w:color w:val="000000"/>
          <w:sz w:val="24"/>
          <w:szCs w:val="24"/>
        </w:rPr>
        <w:t xml:space="preserve">Acipenser fulvescens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r w:rsidRPr="00133A94">
        <w:rPr>
          <w:rFonts w:ascii="Times New Roman" w:hAnsi="Times New Roman"/>
          <w:i/>
          <w:sz w:val="24"/>
          <w:szCs w:val="24"/>
          <w:shd w:val="clear" w:color="auto" w:fill="FFFFFF"/>
        </w:rPr>
        <w:t>Acipenser transmontanus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McDougall, C.A., D. J. Pisiak, C. C. Barth, M. A. Blanchard, D. S. MacDonell,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r w:rsidR="00EA5EBA" w:rsidRPr="00017B43">
        <w:rPr>
          <w:rFonts w:ascii="Times New Roman" w:hAnsi="Times New Roman"/>
          <w:i/>
          <w:color w:val="000000"/>
          <w:sz w:val="24"/>
          <w:szCs w:val="24"/>
        </w:rPr>
        <w:t>Acipenser fulvescens</w:t>
      </w:r>
      <w:r w:rsidR="00EA5EBA">
        <w:rPr>
          <w:rFonts w:ascii="Times New Roman" w:hAnsi="Times New Roman"/>
          <w:color w:val="000000"/>
          <w:sz w:val="24"/>
          <w:szCs w:val="24"/>
        </w:rPr>
        <w:t xml:space="preserve"> Rafinesque, 1817) in the Nelson River, northern Canada. Journal of Applied Ichthyolgy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Melis, T. S., W. E. Pine, III, J. Korman, M. D. Yard, S. Jain and R. S. Pulwarty.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Killgore, H. E. Rogillio,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Killgore, and H. E. Rogillio.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Nehlsen, W., J. E. Williams, and J. A. Lichatowich.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Paragamian,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Beamesderfer,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Dreitz.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Pine, W.E, III, S. J. D. Martell, C. J. Walters, J. F. Kitchell.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Speas, R. Valdez, M. Yard, C. J. Walters, R. Ahrens, R. Vanhaverbeke,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Bouchillon, R.  Ahrens, L. Sturmer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bCs/>
          <w:color w:val="000000"/>
          <w:sz w:val="24"/>
          <w:szCs w:val="24"/>
        </w:rPr>
        <w:t>Pitkitch, E.K., P. Doukakis, L. Lauck,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Sulak.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Acipenser oxyrinchus desotoi.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r>
        <w:rPr>
          <w:rFonts w:ascii="Times New Roman" w:hAnsi="Times New Roman"/>
          <w:color w:val="000000"/>
          <w:position w:val="-5"/>
          <w:sz w:val="24"/>
          <w:szCs w:val="24"/>
        </w:rPr>
        <w:t>Rieman, B. E., and R. C. Beamesderfer.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r w:rsidRPr="00A64186">
        <w:rPr>
          <w:rFonts w:ascii="Times New Roman" w:hAnsi="Times New Roman"/>
          <w:i/>
          <w:iCs/>
          <w:sz w:val="24"/>
          <w:szCs w:val="24"/>
        </w:rPr>
        <w:t>Acipenser oxyrinchus desotoi</w:t>
      </w:r>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L. M. Evrard.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r w:rsidRPr="00A64186">
        <w:rPr>
          <w:rFonts w:ascii="Times New Roman" w:hAnsi="Times New Roman"/>
          <w:color w:val="222222"/>
          <w:sz w:val="24"/>
          <w:szCs w:val="24"/>
          <w:shd w:val="clear" w:color="auto" w:fill="FFFFFF"/>
        </w:rPr>
        <w:t xml:space="preserve">Schueller,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Blewett,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Sulak,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Sulak,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Parauka, W. T. Slack, R. T. Ruth, M. T. Randall, K. Luke, M. F. Mettee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Acipenser oxyrinchus desotoi Vladykov,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r w:rsidRPr="00017B43">
        <w:rPr>
          <w:rFonts w:ascii="Times New Roman" w:hAnsi="Times New Roman"/>
          <w:sz w:val="24"/>
          <w:szCs w:val="24"/>
        </w:rPr>
        <w:t xml:space="preserve">Vélez-Espino, L. A., &amp; Koops,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in Canadian designatable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lastRenderedPageBreak/>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r w:rsidRPr="00156430">
        <w:rPr>
          <w:rFonts w:ascii="Times New Roman" w:hAnsi="Times New Roman"/>
          <w:i/>
          <w:color w:val="000000"/>
          <w:sz w:val="24"/>
          <w:szCs w:val="24"/>
        </w:rPr>
        <w:t xml:space="preserve">Acipenser oxyrinchus desotoi.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J.Hutchings, S. Jennings, O. Jensen, H. Lotze, P. Mace, T. McClanahan, C. Minto, S. Palumbi,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Crateau.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Von Bertalanffy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Initial pre-exploitation population size</w:t>
            </w:r>
            <w:r w:rsidR="00FB7946">
              <w:rPr>
                <w:rFonts w:ascii="Times New Roman" w:hAnsi="Times New Roman"/>
                <w:color w:val="000000"/>
                <w:sz w:val="24"/>
                <w:szCs w:val="24"/>
                <w:lang w:val="fr-FR"/>
              </w:rPr>
              <w:t xml:space="preserve"> (95% credible interval)</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Wooley and Crateau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recK</w:t>
            </w:r>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4D0A4C">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F. Parauka, personal communication</w:t>
            </w:r>
          </w:p>
        </w:tc>
      </w:tr>
      <w:tr w:rsidR="002E6BEC" w:rsidRPr="00CA0CE4" w14:paraId="5C0C1256" w14:textId="77777777" w:rsidTr="009E48C5">
        <w:trPr>
          <w:trHeight w:val="1080"/>
        </w:trPr>
        <w:tc>
          <w:tcPr>
            <w:tcW w:w="2016" w:type="dxa"/>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0F9C34BA"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abundance (thousands of sturgeon;</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Crateau 1985; confidence limits obscured) and 2009 (Ahrens and Pine 2014).</w:t>
      </w:r>
      <w:r w:rsidR="001270E4">
        <w:rPr>
          <w:rFonts w:ascii="Times New Roman" w:hAnsi="Times New Roman"/>
          <w:sz w:val="24"/>
          <w:szCs w:val="24"/>
        </w:rPr>
        <w:t>pine</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084AC576" w:rsidR="00AA5087" w:rsidRDefault="00CA04DD" w:rsidP="00607972">
      <w:pPr>
        <w:pStyle w:val="10CaptionFigure"/>
        <w:tabs>
          <w:tab w:val="left" w:pos="900"/>
        </w:tabs>
        <w:ind w:left="0" w:firstLine="0"/>
      </w:pPr>
      <w:commentRangeStart w:id="3"/>
      <w:r w:rsidRPr="00CA0CE4">
        <w:t>Figure</w:t>
      </w:r>
      <w:commentRangeEnd w:id="3"/>
      <w:r w:rsidR="001F4D90">
        <w:rPr>
          <w:rStyle w:val="CommentReference"/>
          <w:rFonts w:ascii="Calibri" w:hAnsi="Calibri"/>
        </w:rPr>
        <w:commentReference w:id="3"/>
      </w:r>
      <w:r w:rsidRPr="00CA0CE4">
        <w:t xml:space="preserv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607972" w:rsidRPr="00CA0CE4">
        <w:t>Vertical</w:t>
      </w:r>
      <w:r w:rsidR="007F2B10">
        <w:t xml:space="preserve"> dashed blue line is year Jim Woodruff </w:t>
      </w:r>
      <w:r w:rsidR="00571B58">
        <w:t xml:space="preserve">Lock and </w:t>
      </w:r>
      <w:r w:rsidR="007F2B10">
        <w:t xml:space="preserve">Dam construction began which reduced </w:t>
      </w:r>
      <w:r w:rsidR="00303B4F">
        <w:t>Gulf Sturgeon</w:t>
      </w:r>
      <w:r w:rsidR="007F2B10">
        <w:t xml:space="preserve"> carrying capacity,</w:t>
      </w:r>
      <w:r w:rsidR="00607972" w:rsidRPr="00CA0CE4">
        <w:t xml:space="preserve"> red</w:t>
      </w:r>
      <w:r w:rsidR="007F2B10">
        <w:t xml:space="preserve"> dashed</w:t>
      </w:r>
      <w:r w:rsidR="00607972" w:rsidRPr="00CA0CE4">
        <w:t xml:space="preserve"> line is the year commercial fishing </w:t>
      </w:r>
      <w:r w:rsidR="00BF3DA1" w:rsidRPr="00CA0CE4">
        <w:t>ended</w:t>
      </w:r>
      <w:r w:rsidR="007F2B10">
        <w:t>,</w:t>
      </w:r>
      <w:r w:rsidR="00607972" w:rsidRPr="00CA0CE4">
        <w:t xml:space="preserve"> and the vertical </w:t>
      </w:r>
      <w:r w:rsidR="007F2B10">
        <w:t>light</w:t>
      </w:r>
      <w:r w:rsidR="00607972" w:rsidRPr="00CA0CE4">
        <w:t xml:space="preserve"> green</w:t>
      </w:r>
      <w:r w:rsidR="007F2B10">
        <w:t xml:space="preserve"> dashed</w:t>
      </w:r>
      <w:r w:rsidR="00607972" w:rsidRPr="00CA0CE4">
        <w:t xml:space="preserve"> line represents the 2023 target recovery year from the GSRP.</w:t>
      </w:r>
    </w:p>
    <w:p w14:paraId="4DBB834E" w14:textId="2D6D8392"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4AC12029" w14:textId="093E4FEE"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685EAB78" w14:textId="38AF678D"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5 year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C2170C" w:rsidRPr="00CA0CE4">
        <w:t xml:space="preserve"> </w:t>
      </w:r>
      <w:r w:rsidR="00C2170C">
        <w:t xml:space="preserve">current </w:t>
      </w:r>
      <w:r w:rsidR="00C2170C">
        <w:lastRenderedPageBreak/>
        <w:t>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70D5248F" w14:textId="4CCDFAA6" w:rsidR="00A52173" w:rsidRPr="00CA0CE4" w:rsidRDefault="00CA04DD" w:rsidP="00B552A4">
      <w:pPr>
        <w:pStyle w:val="10CaptionFigure"/>
        <w:tabs>
          <w:tab w:val="left" w:pos="900"/>
        </w:tabs>
        <w:ind w:left="0" w:firstLine="0"/>
      </w:pPr>
      <w:r w:rsidRPr="00CA0CE4">
        <w:t xml:space="preserve">Figure </w:t>
      </w:r>
      <w:commentRangeStart w:id="4"/>
      <w:r w:rsidR="007E5F3F" w:rsidRPr="00CA0CE4">
        <w:t>6</w:t>
      </w:r>
      <w:commentRangeEnd w:id="4"/>
      <w:r w:rsidR="00133A94">
        <w:rPr>
          <w:rStyle w:val="CommentReference"/>
          <w:rFonts w:ascii="Calibri" w:hAnsi="Calibri"/>
        </w:rPr>
        <w:commentReference w:id="4"/>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 xml:space="preserve">s at 1948, 1984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53CCCA5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r w:rsidRPr="0013415F">
        <w:rPr>
          <w:rFonts w:ascii="Times New Roman" w:hAnsi="Times New Roman"/>
          <w:i/>
          <w:sz w:val="24"/>
          <w:szCs w:val="24"/>
        </w:rPr>
        <w:t>recK</w:t>
      </w:r>
      <w:r w:rsidRPr="0013415F">
        <w:rPr>
          <w:rFonts w:ascii="Times New Roman" w:hAnsi="Times New Roman"/>
          <w:sz w:val="24"/>
          <w:szCs w:val="24"/>
        </w:rPr>
        <w:t>) compared to baseline predictions (</w:t>
      </w:r>
      <w:r w:rsidR="00193975" w:rsidRPr="0013415F">
        <w:rPr>
          <w:rFonts w:ascii="Times New Roman" w:hAnsi="Times New Roman"/>
          <w:sz w:val="24"/>
          <w:szCs w:val="24"/>
        </w:rPr>
        <w:t>black line</w:t>
      </w:r>
      <w:r w:rsidRPr="0013415F">
        <w:rPr>
          <w:rFonts w:ascii="Times New Roman" w:hAnsi="Times New Roman"/>
          <w:sz w:val="24"/>
          <w:szCs w:val="24"/>
        </w:rPr>
        <w:t xml:space="preserve">) which used a </w:t>
      </w:r>
      <w:r w:rsidRPr="0013415F">
        <w:rPr>
          <w:rFonts w:ascii="Times New Roman" w:hAnsi="Times New Roman"/>
          <w:i/>
          <w:sz w:val="24"/>
          <w:szCs w:val="24"/>
        </w:rPr>
        <w:t>recK</w:t>
      </w:r>
      <w:r w:rsidRPr="0013415F">
        <w:rPr>
          <w:rFonts w:ascii="Times New Roman" w:hAnsi="Times New Roman"/>
          <w:sz w:val="24"/>
          <w:szCs w:val="24"/>
        </w:rPr>
        <w:t xml:space="preserve"> value =5. </w:t>
      </w:r>
      <w:r w:rsidR="0013415F" w:rsidRPr="0013415F">
        <w:rPr>
          <w:rFonts w:ascii="Times New Roman" w:hAnsi="Times New Roman"/>
          <w:sz w:val="24"/>
          <w:szCs w:val="24"/>
        </w:rPr>
        <w:t>Black line represents baseline recovery trajectory, current carrying capacity (</w:t>
      </w:r>
      <w:r w:rsidR="0013415F" w:rsidRPr="0013415F">
        <w:rPr>
          <w:rFonts w:ascii="Times New Roman" w:hAnsi="Times New Roman"/>
          <w:i/>
          <w:sz w:val="24"/>
          <w:szCs w:val="24"/>
        </w:rPr>
        <w:t>k</w:t>
      </w:r>
      <w:r w:rsidR="0013415F" w:rsidRPr="0013415F">
        <w:rPr>
          <w:rFonts w:ascii="Times New Roman" w:hAnsi="Times New Roman"/>
          <w:sz w:val="24"/>
          <w:szCs w:val="24"/>
        </w:rPr>
        <w:t xml:space="preserve">, N=8,784 </w:t>
      </w:r>
      <w:r w:rsidR="00303B4F">
        <w:rPr>
          <w:rFonts w:ascii="Times New Roman" w:hAnsi="Times New Roman"/>
          <w:sz w:val="24"/>
          <w:szCs w:val="24"/>
        </w:rPr>
        <w:t>Gulf Sturgeon</w:t>
      </w:r>
      <w:r w:rsidR="0013415F" w:rsidRPr="0013415F">
        <w:rPr>
          <w:rFonts w:ascii="Times New Roman" w:hAnsi="Times New Roman"/>
          <w:sz w:val="24"/>
          <w:szCs w:val="24"/>
        </w:rPr>
        <w:t xml:space="preserve"> brown line), vertical dashed blue line is year Jim Woodruff </w:t>
      </w:r>
      <w:r w:rsidR="00571B58">
        <w:rPr>
          <w:rFonts w:ascii="Times New Roman" w:hAnsi="Times New Roman"/>
          <w:sz w:val="24"/>
          <w:szCs w:val="24"/>
        </w:rPr>
        <w:t xml:space="preserve">Lock and </w:t>
      </w:r>
      <w:r w:rsidR="0013415F" w:rsidRPr="0013415F">
        <w:rPr>
          <w:rFonts w:ascii="Times New Roman" w:hAnsi="Times New Roman"/>
          <w:sz w:val="24"/>
          <w:szCs w:val="24"/>
        </w:rPr>
        <w:t xml:space="preserve">Dam construction began which reduced </w:t>
      </w:r>
      <w:r w:rsidR="00303B4F">
        <w:rPr>
          <w:rFonts w:ascii="Times New Roman" w:hAnsi="Times New Roman"/>
          <w:sz w:val="24"/>
          <w:szCs w:val="24"/>
        </w:rPr>
        <w:t>Gulf Sturgeon</w:t>
      </w:r>
      <w:r w:rsidR="0013415F" w:rsidRPr="0013415F">
        <w:rPr>
          <w:rFonts w:ascii="Times New Roman" w:hAnsi="Times New Roman"/>
          <w:sz w:val="24"/>
          <w:szCs w:val="24"/>
        </w:rPr>
        <w:t xml:space="preserve"> carrying capacity, red dashed line is the year commercial fishing ended, and the vertical light green dashed line represents the 2023 target recovery year from the GSRP.</w:t>
      </w:r>
    </w:p>
    <w:sectPr w:rsidR="007E5F3F" w:rsidRPr="0013415F" w:rsidSect="00824D56">
      <w:footerReference w:type="default" r:id="rId11"/>
      <w:footnotePr>
        <w:pos w:val="beneathText"/>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mp, Ed" w:date="2019-08-19T13:29:00Z" w:initials="CE">
    <w:p w14:paraId="00B36571" w14:textId="649126CA" w:rsidR="00401399" w:rsidRDefault="00401399">
      <w:pPr>
        <w:pStyle w:val="CommentText"/>
      </w:pPr>
      <w:r>
        <w:rPr>
          <w:rStyle w:val="CommentReference"/>
        </w:rPr>
        <w:annotationRef/>
      </w:r>
      <w:r>
        <w:t>Bill, this paragraph was confusing to me so I tried to edit it. I’m not sure that I made it clearer or less critical, and especially concerned that I may have misinterpreted what you wanted to communicate.</w:t>
      </w:r>
    </w:p>
  </w:comment>
  <w:comment w:id="2" w:author="Camp, Ed" w:date="2019-08-19T14:08:00Z" w:initials="CE">
    <w:p w14:paraId="5AD3C5D3" w14:textId="4250C2C9" w:rsidR="00401399" w:rsidRDefault="00401399">
      <w:pPr>
        <w:pStyle w:val="CommentText"/>
      </w:pPr>
      <w:r>
        <w:rPr>
          <w:rStyle w:val="CommentReference"/>
        </w:rPr>
        <w:annotationRef/>
      </w:r>
      <w:r>
        <w:t>I changed a lot in this paragraph, so it’s probably worth looking it over</w:t>
      </w:r>
    </w:p>
  </w:comment>
  <w:comment w:id="3" w:author="Bill Pine" w:date="2019-08-17T08:09:00Z" w:initials="bp">
    <w:p w14:paraId="22FAE538" w14:textId="38265578" w:rsidR="00401399" w:rsidRDefault="00401399">
      <w:pPr>
        <w:pStyle w:val="CommentText"/>
      </w:pPr>
      <w:r>
        <w:rPr>
          <w:rStyle w:val="CommentReference"/>
        </w:rPr>
        <w:annotationRef/>
      </w:r>
      <w:r>
        <w:t>How can we improve this caption (and the related captions) to make these graphs more interpretable?</w:t>
      </w:r>
    </w:p>
  </w:comment>
  <w:comment w:id="4" w:author="Bill Pine" w:date="2019-08-17T09:02:00Z" w:initials="bp">
    <w:p w14:paraId="766643F6" w14:textId="5C080C8E" w:rsidR="00401399" w:rsidRDefault="00401399">
      <w:pPr>
        <w:pStyle w:val="CommentText"/>
      </w:pPr>
      <w:r>
        <w:rPr>
          <w:rStyle w:val="CommentReference"/>
        </w:rPr>
        <w:annotationRef/>
      </w:r>
      <w:r>
        <w:t>I would like to keep this figure. What is Reviewer 1 flagging related to this figure?  Aren’t these just the estimated number of fish in each age in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B36571" w15:done="0"/>
  <w15:commentEx w15:paraId="5AD3C5D3" w15:done="0"/>
  <w15:commentEx w15:paraId="22FAE538" w15:done="0"/>
  <w15:commentEx w15:paraId="766643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DD35F" w16cid:durableId="21051389"/>
  <w16cid:commentId w16cid:paraId="00B36571" w16cid:durableId="210522C5"/>
  <w16cid:commentId w16cid:paraId="5AD3C5D3" w16cid:durableId="21052BF6"/>
  <w16cid:commentId w16cid:paraId="22FAE538" w16cid:durableId="210234B7"/>
  <w16cid:commentId w16cid:paraId="766643F6" w16cid:durableId="210241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FBA02" w14:textId="77777777" w:rsidR="00B5397D" w:rsidRDefault="00B5397D" w:rsidP="0086030F">
      <w:r>
        <w:separator/>
      </w:r>
    </w:p>
  </w:endnote>
  <w:endnote w:type="continuationSeparator" w:id="0">
    <w:p w14:paraId="5B119D31" w14:textId="77777777" w:rsidR="00B5397D" w:rsidRDefault="00B5397D" w:rsidP="0086030F">
      <w:r>
        <w:continuationSeparator/>
      </w:r>
    </w:p>
  </w:endnote>
  <w:endnote w:type="continuationNotice" w:id="1">
    <w:p w14:paraId="1A04E322" w14:textId="77777777" w:rsidR="00B5397D" w:rsidRDefault="00B53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24482"/>
      <w:docPartObj>
        <w:docPartGallery w:val="Page Numbers (Bottom of Page)"/>
        <w:docPartUnique/>
      </w:docPartObj>
    </w:sdtPr>
    <w:sdtEndPr>
      <w:rPr>
        <w:rFonts w:ascii="Times New Roman" w:hAnsi="Times New Roman"/>
        <w:noProof/>
      </w:rPr>
    </w:sdtEndPr>
    <w:sdtContent>
      <w:p w14:paraId="563290F7" w14:textId="510B5F90" w:rsidR="00401399" w:rsidRDefault="00401399">
        <w:pPr>
          <w:pStyle w:val="Footer"/>
          <w:jc w:val="right"/>
        </w:pPr>
        <w:r w:rsidRPr="00531152">
          <w:rPr>
            <w:rFonts w:ascii="Times New Roman" w:hAnsi="Times New Roman"/>
          </w:rPr>
          <w:fldChar w:fldCharType="begin"/>
        </w:r>
        <w:r w:rsidRPr="00531152">
          <w:rPr>
            <w:rFonts w:ascii="Times New Roman" w:hAnsi="Times New Roman"/>
          </w:rPr>
          <w:instrText xml:space="preserve"> PAGE   \* MERGEFORMAT </w:instrText>
        </w:r>
        <w:r w:rsidRPr="00531152">
          <w:rPr>
            <w:rFonts w:ascii="Times New Roman" w:hAnsi="Times New Roman"/>
          </w:rPr>
          <w:fldChar w:fldCharType="separate"/>
        </w:r>
        <w:r w:rsidR="00531152">
          <w:rPr>
            <w:rFonts w:ascii="Times New Roman" w:hAnsi="Times New Roman"/>
            <w:noProof/>
          </w:rPr>
          <w:t>9</w:t>
        </w:r>
        <w:r w:rsidRPr="00531152">
          <w:rPr>
            <w:rFonts w:ascii="Times New Roman" w:hAnsi="Times New Roman"/>
            <w:noProof/>
          </w:rPr>
          <w:fldChar w:fldCharType="end"/>
        </w:r>
      </w:p>
    </w:sdtContent>
  </w:sdt>
  <w:p w14:paraId="6CF032AA" w14:textId="77777777" w:rsidR="00401399" w:rsidRDefault="0040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6239A" w14:textId="77777777" w:rsidR="00B5397D" w:rsidRDefault="00B5397D" w:rsidP="0086030F">
      <w:r>
        <w:separator/>
      </w:r>
    </w:p>
  </w:footnote>
  <w:footnote w:type="continuationSeparator" w:id="0">
    <w:p w14:paraId="7CD24883" w14:textId="77777777" w:rsidR="00B5397D" w:rsidRDefault="00B5397D" w:rsidP="0086030F">
      <w:r>
        <w:continuationSeparator/>
      </w:r>
    </w:p>
  </w:footnote>
  <w:footnote w:type="continuationNotice" w:id="1">
    <w:p w14:paraId="44B5B35C" w14:textId="77777777" w:rsidR="00B5397D" w:rsidRDefault="00B5397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p, Ed">
    <w15:presenceInfo w15:providerId="AD" w15:userId="S::edvcamp@ufl.edu::8ab40458-c78d-4a63-8649-1b44c635b533"/>
  </w15:person>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7BB6"/>
    <w:rsid w:val="002901CB"/>
    <w:rsid w:val="00290438"/>
    <w:rsid w:val="0029358E"/>
    <w:rsid w:val="00296CE5"/>
    <w:rsid w:val="002A24EE"/>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20FD"/>
    <w:rsid w:val="003C4FE3"/>
    <w:rsid w:val="003C592B"/>
    <w:rsid w:val="003C756B"/>
    <w:rsid w:val="003D0D0C"/>
    <w:rsid w:val="003D24E5"/>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152"/>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397D"/>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676E"/>
    <w:rsid w:val="00C06C47"/>
    <w:rsid w:val="00C0798E"/>
    <w:rsid w:val="00C110FA"/>
    <w:rsid w:val="00C12898"/>
    <w:rsid w:val="00C143DE"/>
    <w:rsid w:val="00C15006"/>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30C0-DB93-44C7-AF0E-49B7C0481F97}">
  <ds:schemaRefs>
    <ds:schemaRef ds:uri="http://schemas.openxmlformats.org/officeDocument/2006/bibliography"/>
  </ds:schemaRefs>
</ds:datastoreItem>
</file>

<file path=customXml/itemProps2.xml><?xml version="1.0" encoding="utf-8"?>
<ds:datastoreItem xmlns:ds="http://schemas.openxmlformats.org/officeDocument/2006/customXml" ds:itemID="{F055328B-921F-4774-9F2D-01448362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10741</Words>
  <Characters>61228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4</cp:revision>
  <cp:lastPrinted>2018-12-21T19:40:00Z</cp:lastPrinted>
  <dcterms:created xsi:type="dcterms:W3CDTF">2019-08-19T20:21:00Z</dcterms:created>
  <dcterms:modified xsi:type="dcterms:W3CDTF">2019-08-20T14:32:00Z</dcterms:modified>
</cp:coreProperties>
</file>