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B-2374/1278/VS.330/11/2023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Ketua Tim Sosial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Seruti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December 2023 - 16 December 2023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11 December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Seruti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Jillian Welch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Sofia Kling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Dr. Eldon Schumm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Ms. Magdalen Volkman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Finn Rippin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Rylee Zboncak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Ursula Hammes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Evelyn Kreiger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Amelie Abshire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Jarvis Johnston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