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31.12.1/PPK.PPIS/BAST/PL.714/2023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Boy Bastian Berkat Gea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Tetehosi Desa Awa'ai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1.12.1/PPK.PPIS/SPK/2023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Boy Bastian Berkat Gea 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31.12.2/PPK.PPIS/BAST/PL.714/2023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Arlin Selvan Dohona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Samasi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1.12.2/PPK.PPIS/SPK/2023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Arlin Selvan Dohona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31.12.3/PPK.PPIS/BAST/PL.714/2023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Aman Sofrin Jaya Zebua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ONONAMOLO II LOT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1.12.3/PPK.PPIS/SPK/2023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Aman Sofrin Jaya Zebua 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31.12.4/PPK.PPIS/BAST/PL.714/2023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Leni Suriani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JL. Diponegoro GG KELUARGA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1.12.4/PPK.PPIS/SPK/2023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Leni Suriani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31.12.5/PPK.PPIS/BAST/PL.714/2023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Jaya Saputra Laoli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Nazalou Alo'oa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1.12.5/PPK.PPIS/SPK/2023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Jaya Saputra Laoli 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31.12.6/PPK.PPIS/BAST/PL.714/2023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Data Perdamaian Berkat Zebua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Jalan fondrako desa onozikho dusun 2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1.12.6/PPK.PPIS/SPK/2023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Data Perdamaian Berkat Zebua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31.12.7/PPK.PPIS/BAST/PL.714/2023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Agung Dixsi Harefa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Daso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1.12.7/PPK.PPIS/SPK/2023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Agung Dixsi Harefa 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31.12.8/PPK.PPIS/BAST/PL.714/2023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Agus Jernih Hati Zebua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Nazalou lolowua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1.12.8/PPK.PPIS/SPK/2023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Agus Jernih Hati Zebua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31.12.9/PPK.PPIS/BAST/PL.714/2023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Minggu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tiga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Agus Salim Mendrofa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2023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JL. YOS SUDARSO GG. RAMBUTAN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1.12.9/PPK.PPIS/SPK/2023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Desember 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Desember 2023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Agus Salim Mendrofa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