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77777777"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Course Projects:</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1B14A71E"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8D61A1">
              <w:rPr>
                <w:rFonts w:ascii="TimesNewRomanPSMT" w:eastAsia="TimesNewRomanPSMT" w:hAnsi="TimesNewRomanPSMT" w:cs="TimesNewRomanPSMT"/>
                <w:color w:val="000000"/>
                <w:kern w:val="0"/>
              </w:rPr>
              <w:t xml:space="preserve">Storm, Kafka, </w:t>
            </w:r>
            <w:r w:rsidR="00DA4692">
              <w:rPr>
                <w:rFonts w:ascii="TimesNewRomanPSMT" w:eastAsia="TimesNewRomanPSMT" w:hAnsi="TimesNewRomanPSMT" w:cs="TimesNewRomanPSMT"/>
                <w:color w:val="000000"/>
                <w:kern w:val="0"/>
              </w:rPr>
              <w:t>Financial Data Streaming.</w:t>
            </w:r>
          </w:p>
          <w:p w14:paraId="56E92D3F" w14:textId="6FCACBD6"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D656EB7" w14:textId="77777777" w:rsidR="00DA4692" w:rsidRDefault="00DA4692" w:rsidP="003900AC">
            <w:pPr>
              <w:pStyle w:val="Standard"/>
              <w:rPr>
                <w:rFonts w:ascii="TimesNewRomanPSMT" w:eastAsia="TimesNewRomanPSMT" w:hAnsi="TimesNewRomanPSMT" w:cs="TimesNewRomanPSMT"/>
                <w:color w:val="000000"/>
                <w:kern w:val="0"/>
              </w:rPr>
            </w:pPr>
          </w:p>
          <w:p w14:paraId="57553068" w14:textId="24033959" w:rsidR="00DA4692" w:rsidRDefault="003D6F11"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476E7ED9" w14:textId="77777777" w:rsidR="00562F7B" w:rsidRDefault="00562F7B" w:rsidP="003900AC">
            <w:pPr>
              <w:pStyle w:val="Standard"/>
              <w:rPr>
                <w:rFonts w:ascii="TimesNewRomanPSMT" w:eastAsia="TimesNewRomanPSMT" w:hAnsi="TimesNewRomanPSMT" w:cs="TimesNewRomanPSMT"/>
                <w:color w:val="000000"/>
                <w:kern w:val="0"/>
              </w:rPr>
            </w:pPr>
          </w:p>
          <w:p w14:paraId="64C09F6B" w14:textId="70ACD928" w:rsidR="0057617B" w:rsidRPr="0057617B" w:rsidRDefault="0057617B" w:rsidP="003900AC">
            <w:pPr>
              <w:pStyle w:val="Standard"/>
              <w:rPr>
                <w:rFonts w:ascii="Georgia" w:hAnsi="Georgia" w:cs="Georgia"/>
                <w:i/>
                <w:sz w:val="22"/>
                <w:szCs w:val="22"/>
              </w:rPr>
            </w:pPr>
            <w:hyperlink r:id="rId7" w:history="1">
              <w:r w:rsidRPr="004A74F8">
                <w:rPr>
                  <w:rStyle w:val="Hyperlink"/>
                  <w:rFonts w:ascii="Georgia" w:hAnsi="Georgia" w:cs="Georgia"/>
                  <w:i/>
                  <w:sz w:val="22"/>
                  <w:szCs w:val="22"/>
                </w:rPr>
                <w:t>https://github.com/billtsay</w:t>
              </w:r>
            </w:hyperlink>
          </w:p>
          <w:p w14:paraId="5EBE16EA" w14:textId="77777777" w:rsidR="002551A7" w:rsidRDefault="002551A7" w:rsidP="003900AC">
            <w:pPr>
              <w:pStyle w:val="TableContents"/>
              <w:snapToGrid w:val="0"/>
              <w:rPr>
                <w:b/>
                <w:bCs/>
                <w:sz w:val="32"/>
                <w:szCs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5BA0EA4B"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p w14:paraId="474919E9" w14:textId="77777777" w:rsidR="00985D2F" w:rsidRDefault="00985D2F">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
        </w:tc>
      </w:tr>
    </w:tbl>
    <w:p w14:paraId="282F09F2" w14:textId="4A79B93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F5589E">
            <w:pPr>
              <w:pStyle w:val="TableContents"/>
              <w:snapToGrid w:val="0"/>
              <w:spacing w:before="86"/>
              <w:rPr>
                <w:b/>
                <w:bCs/>
              </w:rPr>
            </w:pPr>
            <w:hyperlink r:id="rId8"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F5589E">
      <w:pPr>
        <w:pStyle w:val="Standard"/>
        <w:rPr>
          <w:sz w:val="22"/>
          <w:szCs w:val="22"/>
        </w:rPr>
      </w:pPr>
      <w:hyperlink r:id="rId9" w:history="1"/>
    </w:p>
    <w:p w14:paraId="4626D7F6" w14:textId="306F6A26" w:rsidR="00985D2F" w:rsidRPr="005B24EE" w:rsidRDefault="005B24EE" w:rsidP="005B24EE">
      <w:pPr>
        <w:rPr>
          <w:sz w:val="22"/>
          <w:szCs w:val="22"/>
        </w:rPr>
      </w:pPr>
      <w:r>
        <w:rPr>
          <w:sz w:val="22"/>
          <w:szCs w:val="22"/>
        </w:rPr>
        <w:br w:type="page"/>
      </w: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F5589E">
      <w:pPr>
        <w:pStyle w:val="Standard"/>
        <w:ind w:left="709"/>
        <w:rPr>
          <w:sz w:val="22"/>
          <w:szCs w:val="22"/>
        </w:rPr>
      </w:pPr>
      <w:hyperlink r:id="rId10"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F5589E" w:rsidP="005B24EE">
      <w:pPr>
        <w:pStyle w:val="Standard"/>
        <w:ind w:left="709"/>
        <w:rPr>
          <w:b/>
          <w:sz w:val="22"/>
          <w:szCs w:val="22"/>
        </w:rPr>
      </w:pPr>
      <w:hyperlink r:id="rId11"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r>
        <w:rPr>
          <w:sz w:val="22"/>
          <w:szCs w:val="22"/>
        </w:rPr>
        <w:t>JPMorganChase Bank, New York, Houston</w:t>
      </w:r>
      <w:r>
        <w:rPr>
          <w:sz w:val="22"/>
          <w:szCs w:val="22"/>
        </w:rPr>
        <w:br/>
      </w:r>
      <w:r>
        <w:t>Deutsche Bank, New York</w:t>
      </w:r>
    </w:p>
    <w:p w14:paraId="4FF8C44B" w14:textId="77777777" w:rsidR="00985D2F" w:rsidRDefault="007A75A7">
      <w:pPr>
        <w:pStyle w:val="Standard"/>
        <w:ind w:left="709"/>
      </w:pPr>
      <w:r>
        <w:t>CitiBank,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bookmarkStart w:id="0" w:name="_GoBack"/>
      <w:bookmarkEnd w:id="0"/>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BBF6C" w14:textId="77777777" w:rsidR="00F5589E" w:rsidRDefault="00F5589E">
      <w:r>
        <w:separator/>
      </w:r>
    </w:p>
  </w:endnote>
  <w:endnote w:type="continuationSeparator" w:id="0">
    <w:p w14:paraId="433B1D69" w14:textId="77777777" w:rsidR="00F5589E" w:rsidRDefault="00F5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8FDF6" w14:textId="77777777" w:rsidR="00F5589E" w:rsidRDefault="00F5589E">
      <w:r>
        <w:rPr>
          <w:color w:val="000000"/>
        </w:rPr>
        <w:separator/>
      </w:r>
    </w:p>
  </w:footnote>
  <w:footnote w:type="continuationSeparator" w:id="0">
    <w:p w14:paraId="7A42E1F2" w14:textId="77777777" w:rsidR="00F5589E" w:rsidRDefault="00F558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551A7"/>
    <w:rsid w:val="002A3A3C"/>
    <w:rsid w:val="002F54FB"/>
    <w:rsid w:val="003900AC"/>
    <w:rsid w:val="003A0E0D"/>
    <w:rsid w:val="003A15E2"/>
    <w:rsid w:val="003D6F11"/>
    <w:rsid w:val="0042411B"/>
    <w:rsid w:val="004458F5"/>
    <w:rsid w:val="00445BF2"/>
    <w:rsid w:val="00447757"/>
    <w:rsid w:val="004B04A4"/>
    <w:rsid w:val="004F507D"/>
    <w:rsid w:val="00543FF5"/>
    <w:rsid w:val="00562F7B"/>
    <w:rsid w:val="0057617B"/>
    <w:rsid w:val="005B24EE"/>
    <w:rsid w:val="006426CB"/>
    <w:rsid w:val="006576A3"/>
    <w:rsid w:val="00670D10"/>
    <w:rsid w:val="006B54B3"/>
    <w:rsid w:val="00734178"/>
    <w:rsid w:val="007349D6"/>
    <w:rsid w:val="00795325"/>
    <w:rsid w:val="007A75A7"/>
    <w:rsid w:val="007C4D31"/>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C5479"/>
    <w:rsid w:val="00BE233C"/>
    <w:rsid w:val="00C007F5"/>
    <w:rsid w:val="00C20BC5"/>
    <w:rsid w:val="00C84345"/>
    <w:rsid w:val="00D504BF"/>
    <w:rsid w:val="00D50F7B"/>
    <w:rsid w:val="00D6427A"/>
    <w:rsid w:val="00D97614"/>
    <w:rsid w:val="00DA4692"/>
    <w:rsid w:val="00DB32B6"/>
    <w:rsid w:val="00DE312A"/>
    <w:rsid w:val="00E527D8"/>
    <w:rsid w:val="00E61539"/>
    <w:rsid w:val="00E7193A"/>
    <w:rsid w:val="00E93C77"/>
    <w:rsid w:val="00EB1B10"/>
    <w:rsid w:val="00F5589E"/>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verstock.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 TargetMode="External"/><Relationship Id="rId8" Type="http://schemas.openxmlformats.org/officeDocument/2006/relationships/hyperlink" Target="http://www.nixle.com/" TargetMode="External"/><Relationship Id="rId9" Type="http://schemas.openxmlformats.org/officeDocument/2006/relationships/hyperlink" Target="http://www.overstock.com/" TargetMode="External"/><Relationship Id="rId10" Type="http://schemas.openxmlformats.org/officeDocument/2006/relationships/hyperlink" Target="http://www.mform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1282</Words>
  <Characters>7308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12</cp:revision>
  <cp:lastPrinted>2017-01-11T23:19:00Z</cp:lastPrinted>
  <dcterms:created xsi:type="dcterms:W3CDTF">2017-01-11T23:19:00Z</dcterms:created>
  <dcterms:modified xsi:type="dcterms:W3CDTF">2017-02-01T00:37:00Z</dcterms:modified>
</cp:coreProperties>
</file>