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FF4275">
          <w:footerReference w:type="first" r:id="rId8"/>
          <w:pgSz w:w="595.30pt" w:h="841.90pt" w:code="9"/>
          <w:pgMar w:top="27pt" w:right="44.65pt" w:bottom="72pt" w:left="44.65pt" w:header="36pt" w:footer="36pt" w:gutter="0pt"/>
          <w:cols w:space="36pt"/>
          <w:titlePg/>
          <w:docGrid w:linePitch="360"/>
        </w:sectPr>
      </w:pPr>
    </w:p>
    <w:p w14:paraId="28AFD0B4" w14:textId="0B545B77"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DE1B60" w:rsidRPr="00DE1B60">
        <w:rPr>
          <w:i/>
          <w:noProof w:val="0"/>
          <w:sz w:val="18"/>
          <w:szCs w:val="18"/>
        </w:rPr>
        <w:t>Laboratory team of Distributed</w:t>
      </w:r>
      <w:r w:rsidRPr="001758F9">
        <w:rPr>
          <w:i/>
          <w:noProof w:val="0"/>
          <w:sz w:val="18"/>
          <w:szCs w:val="18"/>
        </w:rPr>
        <w:t xml:space="preserve"> </w:t>
      </w:r>
      <w:r w:rsidR="007B6DDA" w:rsidRPr="001758F9">
        <w:rPr>
          <w:i/>
          <w:noProof w:val="0"/>
          <w:sz w:val="18"/>
          <w:szCs w:val="18"/>
        </w:rPr>
        <w:br/>
      </w:r>
      <w:r w:rsidR="00DE1B60" w:rsidRPr="00DE1B60">
        <w:rPr>
          <w:i/>
          <w:noProof w:val="0"/>
          <w:sz w:val="18"/>
          <w:szCs w:val="18"/>
        </w:rPr>
        <w:t>MicroComputer Systems</w:t>
      </w:r>
      <w:r w:rsidR="00DE1B60">
        <w:rPr>
          <w:i/>
          <w:noProof w:val="0"/>
          <w:sz w:val="18"/>
          <w:szCs w:val="18"/>
        </w:rPr>
        <w:t xml:space="preserve"> </w:t>
      </w:r>
      <w:r w:rsidR="00DE1B60" w:rsidRPr="00DE1B60">
        <w:rPr>
          <w:i/>
          <w:noProof w:val="0"/>
          <w:sz w:val="18"/>
          <w:szCs w:val="18"/>
        </w:rPr>
        <w:t>(MCSL),</w:t>
      </w:r>
      <w:r w:rsidR="007B6DDA" w:rsidRPr="001758F9">
        <w:rPr>
          <w:i/>
          <w:noProof w:val="0"/>
          <w:sz w:val="18"/>
          <w:szCs w:val="18"/>
        </w:rPr>
        <w:br/>
      </w:r>
      <w:r w:rsidR="00DE1B60" w:rsidRPr="00DE1B60">
        <w:rPr>
          <w:i/>
          <w:noProof w:val="0"/>
          <w:sz w:val="18"/>
          <w:szCs w:val="18"/>
        </w:rPr>
        <w:t>Dept. of Mathematics,</w:t>
      </w:r>
      <w:r w:rsidRPr="001758F9">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1866F0DF"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Vasileios</w:t>
      </w:r>
      <w:r w:rsidR="00EC15B9">
        <w:rPr>
          <w:i/>
          <w:noProof w:val="0"/>
          <w:sz w:val="18"/>
          <w:szCs w:val="18"/>
        </w:rPr>
        <w:t xml:space="preserve"> Tsolis</w:t>
      </w:r>
      <w:r w:rsidR="00447BB9" w:rsidRPr="000C56CB">
        <w:rPr>
          <w:i/>
          <w:noProof w:val="0"/>
          <w:sz w:val="18"/>
          <w:szCs w:val="18"/>
        </w:rPr>
        <w:br/>
      </w:r>
      <w:r w:rsidR="00EC53A4" w:rsidRPr="00EC53A4">
        <w:rPr>
          <w:i/>
          <w:noProof w:val="0"/>
          <w:sz w:val="18"/>
          <w:szCs w:val="18"/>
        </w:rPr>
        <w:t>Department of Computer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FF4275">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FF4275">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49755574"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06D21D61"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w:t>
      </w:r>
      <w:r w:rsidR="00F7357C">
        <w:rPr>
          <w:lang w:val="en-US"/>
        </w:rPr>
        <w:t xml:space="preserve"> </w:t>
      </w:r>
      <w:r w:rsidRPr="00F900F3">
        <w:rPr>
          <w:lang w:val="en-US"/>
        </w:rPr>
        <w:t>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B65407" w:rsidRDefault="0066576C" w:rsidP="006B6B66">
      <w:pPr>
        <w:pStyle w:val="Heading1"/>
        <w:rPr>
          <w:noProof w:val="0"/>
        </w:rPr>
      </w:pPr>
      <w:r w:rsidRPr="00B65407">
        <w:rPr>
          <w:noProof w:val="0"/>
        </w:rPr>
        <w:t>Rel</w:t>
      </w:r>
      <w:r w:rsidR="001758F9" w:rsidRPr="00B65407">
        <w:rPr>
          <w:noProof w:val="0"/>
        </w:rPr>
        <w:t>a</w:t>
      </w:r>
      <w:r w:rsidRPr="00B65407">
        <w:rPr>
          <w:noProof w:val="0"/>
        </w:rPr>
        <w:t>ted work</w:t>
      </w:r>
    </w:p>
    <w:p w14:paraId="0210BB66" w14:textId="2A20666A" w:rsidR="009303D9" w:rsidRDefault="00B65407" w:rsidP="00E7596C">
      <w:pPr>
        <w:pStyle w:val="BodyText"/>
        <w:rPr>
          <w:lang w:val="en-US"/>
        </w:rPr>
      </w:pPr>
      <w:r w:rsidRPr="00B65407">
        <w:rPr>
          <w:lang w:val="en-US"/>
        </w:rPr>
        <w:t>The development of friend recommendation systems utilizing Graph Neural Networks (GNNs) has garnered significant attention in recent research efforts aimed at enhancing user experience within social platforms. Here, we review pertinent studies in this domain.</w:t>
      </w:r>
    </w:p>
    <w:p w14:paraId="543B3327" w14:textId="0310C3F0" w:rsidR="00B65407" w:rsidRPr="00B65407" w:rsidRDefault="00B65407" w:rsidP="00B65407">
      <w:pPr>
        <w:pStyle w:val="BodyText"/>
        <w:rPr>
          <w:lang w:val="en-US"/>
        </w:rPr>
      </w:pPr>
      <w:r w:rsidRPr="00B65407">
        <w:rPr>
          <w:b/>
          <w:bCs/>
          <w:lang w:val="en-US"/>
        </w:rPr>
        <w:t>Friend Recommendation:</w:t>
      </w:r>
      <w:r w:rsidRPr="00B65407">
        <w:rPr>
          <w:lang w:val="en-US"/>
        </w:rPr>
        <w:t xml:space="preserve"> In recent years, graph embedding methods have gained prominence for friend recommendation tasks. These methods learn unsupervised embeddings techniques to generate embeddings that capture the structural features of nodes within the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DefaultPlaceholder_-1854013440"/>
          </w:placeholder>
        </w:sdtPr>
        <w:sdtContent>
          <w:r w:rsidR="00271813" w:rsidRPr="00271813">
            <w:rPr>
              <w:color w:val="000000"/>
              <w:lang w:val="en-US"/>
            </w:rPr>
            <w:t>[1]</w:t>
          </w:r>
        </w:sdtContent>
      </w:sdt>
      <w:r w:rsidRPr="00B65407">
        <w:rPr>
          <w:lang w:val="en-US"/>
        </w:rPr>
        <w:t>. 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DefaultPlaceholder_-1854013440"/>
          </w:placeholder>
        </w:sdtPr>
        <w:sdtContent>
          <w:r w:rsidR="00271813" w:rsidRPr="00271813">
            <w:rPr>
              <w:color w:val="000000"/>
              <w:lang w:val="en-US"/>
            </w:rPr>
            <w:t>[2]</w:t>
          </w:r>
        </w:sdtContent>
      </w:sdt>
      <w:r w:rsidRPr="00B65407">
        <w:rPr>
          <w:lang w:val="en-US"/>
        </w:rPr>
        <w:t xml:space="preserve"> and they achieve this by finding the likelihood of node in random walk. As a result, these methods demonstrate effective performance in predicting links between nodes in the graph.</w:t>
      </w:r>
    </w:p>
    <w:p w14:paraId="7E26376E" w14:textId="4BCF6220" w:rsidR="00B65407" w:rsidRPr="00B65407" w:rsidRDefault="00B65407" w:rsidP="00B65407">
      <w:pPr>
        <w:pStyle w:val="BodyText"/>
        <w:rPr>
          <w:lang w:val="en-US"/>
        </w:rPr>
      </w:pPr>
      <w:r w:rsidRPr="00B65407">
        <w:rPr>
          <w:lang w:val="en-US"/>
        </w:rPr>
        <w:t>However, these methods make them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DefaultPlaceholder_-1854013440"/>
          </w:placeholder>
        </w:sdtPr>
        <w:sdtContent>
          <w:r w:rsidR="00271813" w:rsidRPr="00271813">
            <w:rPr>
              <w:color w:val="000000"/>
              <w:lang w:val="en-US"/>
            </w:rPr>
            <w:t>[2], [3]</w:t>
          </w:r>
        </w:sdtContent>
      </w:sdt>
      <w:r w:rsidRPr="00B65407">
        <w:rPr>
          <w:lang w:val="en-US"/>
        </w:rPr>
        <w:t xml:space="preserve">. As the size of the network grows, the computational resources required for training and inference also increase significantly. Therefore, while graph embedding methods offer promising solutions for friend </w:t>
      </w:r>
      <w:r w:rsidRPr="00B65407">
        <w:rPr>
          <w:lang w:val="en-US"/>
        </w:rPr>
        <w:t>recommendation tasks, their constraints challenges in large-scale social networks.</w:t>
      </w:r>
    </w:p>
    <w:p w14:paraId="1B29761E" w14:textId="3BD1B398" w:rsidR="00B65407" w:rsidRPr="00B65407" w:rsidRDefault="00B65407" w:rsidP="00B65407">
      <w:pPr>
        <w:pStyle w:val="BodyText"/>
        <w:rPr>
          <w:lang w:val="en-US"/>
        </w:rPr>
      </w:pPr>
      <w:r w:rsidRPr="00B65407">
        <w:rPr>
          <w:b/>
          <w:bCs/>
          <w:lang w:val="en-US"/>
        </w:rPr>
        <w:t>Graph Neural Networks:</w:t>
      </w:r>
      <w:r w:rsidRPr="00B65407">
        <w:rPr>
          <w:lang w:val="en-US"/>
        </w:rPr>
        <w:t xml:space="preserve">  GNNs propagate information from local neighborhoods of nodes throughout the graph. A notable architecture within GNNs is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DefaultPlaceholder_-1854013440"/>
          </w:placeholder>
        </w:sdtPr>
        <w:sdtContent>
          <w:r w:rsidR="00271813" w:rsidRPr="00271813">
            <w:rPr>
              <w:color w:val="000000"/>
              <w:lang w:val="en-US"/>
            </w:rPr>
            <w:t>[4]</w:t>
          </w:r>
        </w:sdtContent>
      </w:sdt>
      <w:r w:rsidRPr="00B65407">
        <w:rPr>
          <w:lang w:val="en-US"/>
        </w:rPr>
        <w:t>, which learn by node degrees, utilizing the graph Laplacian matrix. Many models have expanded upon GCNs, introducing various learnable aggregators such as self-attention mechanisms, mean pooling, and max pooling functions. These advancements have consistently outperformed embedding techniques based on random walks.</w:t>
      </w:r>
    </w:p>
    <w:p w14:paraId="3805CBEC" w14:textId="2A351373" w:rsidR="00B65407" w:rsidRPr="001758F9" w:rsidRDefault="00B65407" w:rsidP="00B65407">
      <w:pPr>
        <w:pStyle w:val="BodyText"/>
        <w:rPr>
          <w:lang w:val="en-US"/>
        </w:rPr>
      </w:pPr>
      <w:r w:rsidRPr="00B65407">
        <w:rPr>
          <w:lang w:val="en-US"/>
        </w:rPr>
        <w:t>In research study</w:t>
      </w:r>
      <w:sdt>
        <w:sdtPr>
          <w:rPr>
            <w:color w:val="000000"/>
            <w:lang w:val="en-US"/>
          </w:rPr>
          <w:tag w:val="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1328748850"/>
          <w:placeholder>
            <w:docPart w:val="DefaultPlaceholder_-1854013440"/>
          </w:placeholder>
        </w:sdtPr>
        <w:sdtContent>
          <w:r w:rsidR="00271813" w:rsidRPr="00271813">
            <w:rPr>
              <w:color w:val="000000"/>
              <w:lang w:val="en-US"/>
            </w:rPr>
            <w:t>[3]</w:t>
          </w:r>
        </w:sdtContent>
      </w:sdt>
      <w:r w:rsidRPr="00B65407">
        <w:rPr>
          <w:lang w:val="en-US"/>
        </w:rPr>
        <w:t xml:space="preserve"> conducts experiments on extensive datasets and they formulated friend suggestion as a friend ranking problem. They propose a neural architecture capable of learning expressive user representations from multi-modal features and user-user interactions. The methods were compared against strong feature-based ranking models and the ranking metrics for evaluation. In this study, we model a baseline GCN to learn friend ranking and compare with additional embedding algorithm.</w:t>
      </w:r>
    </w:p>
    <w:p w14:paraId="56F1DB45" w14:textId="26BDE959" w:rsidR="009303D9" w:rsidRPr="001758F9" w:rsidRDefault="00DF5882" w:rsidP="006B6B66">
      <w:pPr>
        <w:pStyle w:val="Heading1"/>
        <w:rPr>
          <w:noProof w:val="0"/>
        </w:rPr>
      </w:pPr>
      <w:r w:rsidRPr="001758F9">
        <w:rPr>
          <w:noProof w:val="0"/>
        </w:rPr>
        <w:t>Methodology</w:t>
      </w:r>
    </w:p>
    <w:p w14:paraId="7CCF85DB" w14:textId="080A9F7C" w:rsidR="00931E4B" w:rsidRDefault="00931E4B" w:rsidP="00E7596C">
      <w:pPr>
        <w:pStyle w:val="BodyText"/>
        <w:rPr>
          <w:lang w:val="en-US"/>
        </w:rPr>
      </w:pPr>
      <w:r>
        <w:rPr>
          <w:lang w:val="en-US"/>
        </w:rPr>
        <w:t xml:space="preserve">Intro </w:t>
      </w:r>
      <w:r w:rsidRPr="00931E4B">
        <w:rPr>
          <w:highlight w:val="yellow"/>
          <w:lang w:val="en-US"/>
        </w:rPr>
        <w:t>paragraph</w:t>
      </w:r>
      <w:r>
        <w:rPr>
          <w:lang w:val="en-US"/>
        </w:rPr>
        <w:t xml:space="preserve"> to lead to dataset</w:t>
      </w:r>
    </w:p>
    <w:p w14:paraId="358632DC" w14:textId="7BB695E1" w:rsidR="00513637"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DefaultPlaceholder_-1854013440"/>
          </w:placeholder>
        </w:sdtPr>
        <w:sdtContent>
          <w:r w:rsidR="004C71E8" w:rsidRPr="004C71E8">
            <w:rPr>
              <w:color w:val="000000"/>
              <w:lang w:val="en-US"/>
            </w:rPr>
            <w:t>[5]</w:t>
          </w:r>
        </w:sdtContent>
      </w:sdt>
      <w:r w:rsidR="00496C5B">
        <w:rPr>
          <w:lang w:val="en-US"/>
        </w:rPr>
        <w:t>.</w:t>
      </w:r>
      <w:r w:rsidRPr="001758F9">
        <w:rPr>
          <w:lang w:val="en-US"/>
        </w:rPr>
        <w:t xml:space="preserve"> </w:t>
      </w:r>
    </w:p>
    <w:p w14:paraId="560F68B7" w14:textId="6FF217C1" w:rsidR="008C1B00" w:rsidRDefault="00513637" w:rsidP="00E7596C">
      <w:pPr>
        <w:pStyle w:val="BodyText"/>
        <w:rPr>
          <w:lang w:val="en-US"/>
        </w:rPr>
      </w:pPr>
      <w:r>
        <w:rPr>
          <w:noProof/>
        </w:rPr>
        <w:drawing>
          <wp:inline distT="0" distB="0" distL="0" distR="0" wp14:anchorId="6A7E74AE" wp14:editId="608D341E">
            <wp:extent cx="3089910" cy="2407640"/>
            <wp:effectExtent l="0" t="0" r="15240" b="12065"/>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solidFill>
                        <a:srgbClr val="000000"/>
                      </a:solid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2BB5754E"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features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http://i.stanford.edu/~julian/pdfs/nips2012.pdf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1E2B5CA8" w:rsidR="00962D54" w:rsidRDefault="00496C5B" w:rsidP="00E7596C">
      <w:pPr>
        <w:pStyle w:val="BodyText"/>
        <w:rPr>
          <w:lang w:val="en-US"/>
        </w:rPr>
      </w:pPr>
      <w:r>
        <w:rPr>
          <w:lang w:val="en-US"/>
        </w:rPr>
        <w:t>It</w:t>
      </w:r>
      <w:r w:rsidR="00962D54" w:rsidRPr="001758F9">
        <w:rPr>
          <w:lang w:val="en-US"/>
        </w:rPr>
        <w:t xml:space="preserve"> includes</w:t>
      </w:r>
      <w:r>
        <w:rPr>
          <w:lang w:val="en-US"/>
        </w:rPr>
        <w:t xml:space="preserve"> user to user connections / interactions,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 xml:space="preserve">(nodeId.circles), </w:t>
      </w:r>
      <w:r w:rsidR="00962D54" w:rsidRPr="001758F9">
        <w:rPr>
          <w:lang w:val="en-US"/>
        </w:rPr>
        <w:lastRenderedPageBreak/>
        <w:t>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t>(nodeId.feat), features for the ego user (nodeId.egofeat) and names of each of the feature dimensions</w:t>
      </w:r>
      <w:r>
        <w:rPr>
          <w:lang w:val="en-US"/>
        </w:rPr>
        <w:t xml:space="preserve"> </w:t>
      </w:r>
      <w:r w:rsidR="00962D54" w:rsidRPr="001758F9">
        <w:rPr>
          <w:lang w:val="en-US"/>
        </w:rPr>
        <w:t>(nodeId.featnames) from Facebook,</w:t>
      </w:r>
      <w:r w:rsidR="00931E4B">
        <w:rPr>
          <w:lang w:val="en-US"/>
        </w:rPr>
        <w:t xml:space="preserve"> </w:t>
      </w:r>
      <w:r w:rsidR="00962D54" w:rsidRPr="001758F9">
        <w:rPr>
          <w:lang w:val="en-US"/>
        </w:rPr>
        <w:t xml:space="preserve">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aforementioned</w:t>
      </w:r>
      <w:r w:rsidR="00962D54" w:rsidRPr="001758F9">
        <w:rPr>
          <w:lang w:val="en-US"/>
        </w:rPr>
        <w:t xml:space="preserve"> datasets:</w:t>
      </w:r>
    </w:p>
    <w:p w14:paraId="59C8A477" w14:textId="03D0DAC9" w:rsidR="00513637" w:rsidRPr="001758F9" w:rsidRDefault="00513637" w:rsidP="00E7596C">
      <w:pPr>
        <w:pStyle w:val="BodyText"/>
        <w:rPr>
          <w:lang w:val="en-US"/>
        </w:rPr>
      </w:pPr>
      <w:r>
        <w:rPr>
          <w:noProof/>
        </w:rPr>
        <w:drawing>
          <wp:inline distT="0" distB="0" distL="0" distR="0" wp14:anchorId="7E661414" wp14:editId="0F3465B2">
            <wp:extent cx="3089910" cy="1921079"/>
            <wp:effectExtent l="0" t="0" r="15240" b="2222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21079"/>
                    </a:xfrm>
                    <a:prstGeom prst="rect">
                      <a:avLst/>
                    </a:prstGeom>
                    <a:solidFill>
                      <a:srgbClr val="FFFFFF"/>
                    </a:solidFill>
                    <a:ln w="9525">
                      <a:solidFill>
                        <a:srgbClr val="000000"/>
                      </a:solid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77777777" w:rsidR="00FC68C2" w:rsidRDefault="00DF5882" w:rsidP="00030961">
      <w:pPr>
        <w:pStyle w:val="BodyText"/>
        <w:rPr>
          <w:lang w:val="en-US"/>
        </w:rPr>
      </w:pPr>
      <w:bookmarkStart w:id="0" w:name="_Hlk157978099"/>
      <w:r w:rsidRPr="001758F9">
        <w:rPr>
          <w:lang w:val="en-US"/>
        </w:rPr>
        <w:t xml:space="preserve">The data processing approach involved several key steps to enhance the dataset for subsequent analysis. The ego features were unified with the user features to create a 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6DFA4A52" w14:textId="212978C1" w:rsidR="00931E4B" w:rsidRDefault="00931E4B" w:rsidP="00030961">
      <w:pPr>
        <w:pStyle w:val="BodyText"/>
        <w:rPr>
          <w:lang w:val="en-US"/>
        </w:rPr>
      </w:pPr>
      <w:r>
        <w:rPr>
          <w:lang w:val="en-US"/>
        </w:rPr>
        <w:t>Al</w:t>
      </w:r>
      <w:r w:rsidRPr="00931E4B">
        <w:rPr>
          <w:highlight w:val="yellow"/>
          <w:lang w:val="en-US"/>
        </w:rPr>
        <w:t>ternate twitter</w:t>
      </w:r>
    </w:p>
    <w:p w14:paraId="4D829709" w14:textId="3C4CB7CF"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r w:rsidR="00931E4B" w:rsidRPr="001758F9">
        <w:rPr>
          <w:lang w:val="en-US"/>
        </w:rPr>
        <w:t>validation,</w:t>
      </w:r>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1BA9799C"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xml:space="preserve">. The model is based on a Graph </w:t>
      </w:r>
      <w:r w:rsidR="00D215C8" w:rsidRPr="00271813">
        <w:t>Convolutional Network</w:t>
      </w:r>
      <w:r w:rsidR="00D215C8" w:rsidRPr="001758F9">
        <w:t xml:space="preserve">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DefaultPlaceholder_-1854013440"/>
          </w:placeholder>
        </w:sdtPr>
        <w:sdtContent>
          <w:r w:rsidR="004C71E8" w:rsidRPr="004C71E8">
            <w:rPr>
              <w:color w:val="000000"/>
            </w:rPr>
            <w:t>[6]</w:t>
          </w:r>
        </w:sdtContent>
      </w:sdt>
      <w:r w:rsidR="00D215C8" w:rsidRPr="001758F9">
        <w:t xml:space="preserve">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70729FE7" w:rsidR="00D215C8" w:rsidRDefault="00E60889" w:rsidP="008B1421">
      <w:pPr>
        <w:pStyle w:val="Style1"/>
      </w:pPr>
      <w:r w:rsidRPr="00E60889">
        <w:t>Incorporated within the model are two hidden layers employing graphical convolutions</w:t>
      </w:r>
      <w:r>
        <w:t xml:space="preserve">, with ReLU activations and a </w:t>
      </w:r>
      <w:r w:rsidRPr="00880043">
        <w:t>dropout</w:t>
      </w:r>
      <w:r>
        <w:t xml:space="preserve"> layer in between</w:t>
      </w:r>
      <w:r w:rsidRPr="00E60889">
        <w:t>.</w:t>
      </w:r>
      <w:r w:rsidR="00D215C8" w:rsidRPr="001758F9">
        <w:t xml:space="preserve"> This allows extracting important features from the graph and user features.</w:t>
      </w:r>
      <w:r>
        <w:t xml:space="preserve"> Additionally, a Stochastic Gradient Descent </w:t>
      </w:r>
      <w:r w:rsidRPr="00880043">
        <w:t>optimizer</w:t>
      </w:r>
      <w:r>
        <w:t xml:space="preserve"> is utilized as well as a StepLR scheduler to control the </w:t>
      </w:r>
      <w:r w:rsidRPr="004A651A">
        <w:t>learning rate decay</w:t>
      </w:r>
      <w:r>
        <w:t>.</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6D5ECB" w14:textId="3E8282CA" w:rsidR="004A651A" w:rsidRDefault="004A651A" w:rsidP="004A651A">
      <w:pPr>
        <w:pStyle w:val="equation"/>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4EC5FF11" w14:textId="4AE44592" w:rsidR="00271813" w:rsidRDefault="00271813" w:rsidP="008B1421">
      <w:pPr>
        <w:pStyle w:val="Style1"/>
      </w:pPr>
      <w:r w:rsidRPr="00271813">
        <w:t xml:space="preserve">The reason that we used </w:t>
      </w:r>
      <w:r w:rsidR="00255DF6">
        <w:t>d</w:t>
      </w:r>
      <w:r w:rsidRPr="00271813">
        <w:t xml:space="preserve">ropout </w:t>
      </w:r>
      <w:r w:rsidR="00255DF6">
        <w:t xml:space="preserve">layer </w:t>
      </w:r>
      <w:r w:rsidRPr="00271813">
        <w:t>in this work is to prevent overfitting during the training of the neural network model. Overfitting occurs when a model learns to memorize the training data rather than generalize well to unseen data. Dropout addresses this issue by randomly dropping a fraction of input units during training, forcing the network to learn more features.</w:t>
      </w:r>
    </w:p>
    <w:p w14:paraId="31A81A34" w14:textId="39234493" w:rsidR="00880043" w:rsidRDefault="00880043" w:rsidP="008B1421">
      <w:pPr>
        <w:pStyle w:val="Style1"/>
      </w:pPr>
      <w:r w:rsidRPr="00880043">
        <w:t xml:space="preserve">The </w:t>
      </w:r>
      <w:r>
        <w:t>Stochastic Gradient Descent</w:t>
      </w:r>
      <w:r w:rsidRPr="00880043">
        <w:t xml:space="preserve"> (</w:t>
      </w:r>
      <w:r w:rsidRPr="00880043">
        <w:t>SGD</w:t>
      </w:r>
      <w:r w:rsidRPr="00880043">
        <w:t>)</w:t>
      </w:r>
      <w:r w:rsidRPr="00880043">
        <w:t xml:space="preserve"> optimizer is used because it iteratively updates the model parameters in the direction opposite to the gradient of the loss function, aiming to minimize the loss and improve the model's performance. </w:t>
      </w:r>
      <w:r w:rsidR="00971183" w:rsidRPr="00971183">
        <w:t>The momentum term, set to 0.9, speeds up convergence and reduces oscillations by adding momentum to the parameter updates.</w:t>
      </w:r>
    </w:p>
    <w:p w14:paraId="0B5FF0A5" w14:textId="5385A8C0" w:rsidR="00880043" w:rsidRDefault="00880043" w:rsidP="008B1421">
      <w:pPr>
        <w:pStyle w:val="Style1"/>
      </w:pPr>
      <w:r w:rsidRPr="00880043">
        <w:t xml:space="preserve">In addition, the StepLR scheduler is used to gradually reduce the learning rate over time during training. By reducing the learning rate by a factor of 0.5 every </w:t>
      </w:r>
      <w:r w:rsidR="008F78F5">
        <w:t>25</w:t>
      </w:r>
      <w:r w:rsidRPr="00880043">
        <w:t xml:space="preserve"> epochs, the scheduler facilitates more stable and efficient convergence of the optimizer. Consequently, the scheduler is used to manage </w:t>
      </w:r>
      <w:r w:rsidRPr="00880043">
        <w:lastRenderedPageBreak/>
        <w:t>the learning rate throughout training, improving the optimization process and enabling more effective parameter updates.</w:t>
      </w:r>
    </w:p>
    <w:p w14:paraId="6625ECD5" w14:textId="77EE1814" w:rsidR="00255DF6" w:rsidRDefault="00037E6D" w:rsidP="00496C5B">
      <w:pPr>
        <w:pStyle w:val="Style1"/>
      </w:pPr>
      <w:r>
        <w:t>Furthermore, t</w:t>
      </w:r>
      <w:r w:rsidRPr="00037E6D">
        <w:t xml:space="preserve">he loss </w:t>
      </w:r>
      <w:r w:rsidR="00255DF6" w:rsidRPr="00255DF6">
        <w:t>function quantifies the disagreement between predicted logits and true labels by computing the binary cross-entropy, thereby facilitating the adjustment of model parameters to minimize this discrepancy. By penalizing deviations between predictions and ground truth, the binary cross-entropy loss guides the model towards making more accurate classifications.</w:t>
      </w:r>
    </w:p>
    <w:p w14:paraId="041EB453" w14:textId="44152544" w:rsidR="00BA58C3" w:rsidRDefault="00BA58C3" w:rsidP="00496C5B">
      <w:pPr>
        <w:pStyle w:val="Style1"/>
      </w:pPr>
      <w:r>
        <w:t>Finally, w</w:t>
      </w:r>
      <w:r w:rsidRPr="00BA58C3">
        <w:t>e used a training and evaluation pipeline for this learning model which initializes the chosen model along with a predictor, optimizer, and learning rate scheduler. It then conducts training over a specified number of epochs</w:t>
      </w:r>
      <w:r>
        <w:t xml:space="preserve"> </w:t>
      </w:r>
      <w:r w:rsidRPr="00BA58C3">
        <w:t>(30,50,100,200,1000 epoch), computing the loss, performing propagation, and updating model parameters. After training, the function evaluates the model's performance on a test set, calculating the Area Under the Curve (AUC) score and printing the loss.</w:t>
      </w:r>
      <w:r w:rsidR="00AD2623">
        <w:t xml:space="preserve"> </w:t>
      </w:r>
      <w:r w:rsidR="00AD2623" w:rsidRPr="00AD2623">
        <w:t>The figure 2 illustrates the our GCN model architecture.</w:t>
      </w:r>
    </w:p>
    <w:p w14:paraId="6E4701AE" w14:textId="77777777" w:rsidR="005528E3" w:rsidRDefault="005528E3" w:rsidP="005528E3">
      <w:pPr>
        <w:pStyle w:val="Style1"/>
        <w:keepNext/>
      </w:pPr>
      <w:r>
        <w:rPr>
          <w:noProof/>
        </w:rPr>
        <w:drawing>
          <wp:inline distT="0" distB="0" distL="0" distR="0" wp14:anchorId="4A9DEF81" wp14:editId="2C97B7EA">
            <wp:extent cx="3089910" cy="584870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91821" cy="5852326"/>
                    </a:xfrm>
                    <a:prstGeom prst="rect">
                      <a:avLst/>
                    </a:prstGeom>
                  </pic:spPr>
                </pic:pic>
              </a:graphicData>
            </a:graphic>
          </wp:inline>
        </w:drawing>
      </w:r>
    </w:p>
    <w:p w14:paraId="6D74FB0F" w14:textId="6D4045F1" w:rsidR="0084694B" w:rsidRPr="005528E3" w:rsidRDefault="005528E3" w:rsidP="005528E3">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6319DAB7" w14:textId="74DFB9FB" w:rsidR="00D215C8" w:rsidRPr="001758F9" w:rsidRDefault="00E60889" w:rsidP="00496C5B">
      <w:pPr>
        <w:pStyle w:val="Style1"/>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The Friend Ranking Module utilizes as input</w:t>
      </w:r>
      <w:r w:rsidR="00F135AA" w:rsidRPr="001758F9">
        <w:t xml:space="preserve"> the edge</w:t>
      </w:r>
      <w:r w:rsidR="001758F9">
        <w:t xml:space="preserve"> </w:t>
      </w:r>
      <w:r w:rsidR="00F135AA" w:rsidRPr="001758F9">
        <w:t>index matri</w:t>
      </w:r>
      <w:r>
        <w:t>ces</w:t>
      </w:r>
      <w:r w:rsidR="00F135AA" w:rsidRPr="001758F9">
        <w:t>, and the node features h</w:t>
      </w:r>
      <w:r>
        <w:t>, as learnt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3E681B0F" w14:textId="55E311D1" w:rsidR="00931E4B" w:rsidRDefault="00931E4B" w:rsidP="00931E4B">
      <w:pPr>
        <w:pStyle w:val="Heading2"/>
      </w:pPr>
      <w:r>
        <w:t>Friend Recommendation</w:t>
      </w:r>
    </w:p>
    <w:p w14:paraId="68FD410D" w14:textId="77777777" w:rsidR="00931E4B" w:rsidRPr="00931E4B" w:rsidRDefault="00931E4B" w:rsidP="00931E4B">
      <w:pPr>
        <w:pStyle w:val="Style1"/>
        <w:rPr>
          <w:highlight w:val="yellow"/>
        </w:rPr>
      </w:pPr>
      <w:r w:rsidRPr="00931E4B">
        <w:rPr>
          <w:highlight w:val="yellow"/>
        </w:rPr>
        <w:t>Generator (targeted)</w:t>
      </w:r>
    </w:p>
    <w:p w14:paraId="56B5917F" w14:textId="77777777" w:rsidR="00931E4B" w:rsidRPr="00931E4B" w:rsidRDefault="00931E4B" w:rsidP="00931E4B">
      <w:pPr>
        <w:pStyle w:val="Style1"/>
        <w:rPr>
          <w:highlight w:val="yellow"/>
        </w:rPr>
      </w:pPr>
      <w:r w:rsidRPr="00931E4B">
        <w:rPr>
          <w:highlight w:val="yellow"/>
        </w:rPr>
        <w:t>Calculator (all)</w:t>
      </w:r>
    </w:p>
    <w:p w14:paraId="497BB3BD" w14:textId="0E9BA60F" w:rsidR="00931E4B" w:rsidRPr="00931E4B" w:rsidRDefault="00931E4B" w:rsidP="00931E4B">
      <w:pPr>
        <w:pStyle w:val="Style1"/>
      </w:pPr>
      <w:r w:rsidRPr="00931E4B">
        <w:rPr>
          <w:highlight w:val="yellow"/>
        </w:rPr>
        <w:t>Ranking process</w:t>
      </w:r>
    </w:p>
    <w:p w14:paraId="40218417" w14:textId="34F5E82F" w:rsidR="009303D9" w:rsidRPr="001758F9" w:rsidRDefault="002223B0" w:rsidP="006B6B66">
      <w:pPr>
        <w:pStyle w:val="Heading1"/>
        <w:rPr>
          <w:noProof w:val="0"/>
        </w:rPr>
      </w:pPr>
      <w:r w:rsidRPr="001758F9">
        <w:rPr>
          <w:noProof w:val="0"/>
        </w:rPr>
        <w:t>experiments</w:t>
      </w:r>
    </w:p>
    <w:p w14:paraId="60D53302" w14:textId="0C7ED310" w:rsidR="009303D9" w:rsidRPr="001758F9" w:rsidRDefault="006A73D2" w:rsidP="00E7596C">
      <w:pPr>
        <w:pStyle w:val="BodyText"/>
        <w:rPr>
          <w:lang w:val="en-US"/>
        </w:rPr>
      </w:pPr>
      <w:r w:rsidRPr="000D5677">
        <w:rPr>
          <w:lang w:val="en-US"/>
        </w:rPr>
        <w:t>In</w:t>
      </w:r>
      <w:r w:rsidR="000D5677" w:rsidRPr="000D5677">
        <w:rPr>
          <w:lang w:val="en-US"/>
        </w:rPr>
        <w:t xml:space="preserve"> this section, </w:t>
      </w:r>
      <w:r w:rsidR="000D5677">
        <w:rPr>
          <w:lang w:val="en-US"/>
        </w:rPr>
        <w:t>we present the experiments of this study. We report on our experimental setup, describing in detail the datasets we used as input and how we preprocess them, the evaluation metrics we used to assess the model’s effectiveness in recommending new user-to-user connections along with the model’s training process. Following this, we present the cross evaluation GNN model we utilized to test against our GCN model implementation, Truncated Singular Value Decomposition. Lastly, we showcase the results of our comprehensive experiments, state our observations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on Stanford’s SNAP repository. The datasets contained information about ego networks on Facebook and Twitter and each dataset was subjected to different preprocessing before use. </w:t>
      </w:r>
    </w:p>
    <w:p w14:paraId="6AE58CB4" w14:textId="039881F5" w:rsidR="006A73D2" w:rsidRDefault="006A73D2" w:rsidP="006A73D2">
      <w:pPr>
        <w:pStyle w:val="Style1"/>
      </w:pPr>
      <w:r>
        <w:t xml:space="preserve">The ego-Facebook dataset contained information about 10 anonymized ego networks, with 4.039 nodes, 88.234 edges and </w:t>
      </w:r>
      <w:r w:rsidRPr="006A73D2">
        <w:t>1</w:t>
      </w:r>
      <w:r>
        <w:t>.</w:t>
      </w:r>
      <w:r w:rsidRPr="006A73D2">
        <w:t>406</w:t>
      </w:r>
      <w:r>
        <w:t xml:space="preserve"> features describing each node, as presented on [</w:t>
      </w:r>
      <w:r w:rsidRPr="006A73D2">
        <w:rPr>
          <w:highlight w:val="yellow"/>
        </w:rPr>
        <w:t>TABLE</w:t>
      </w:r>
      <w:r>
        <w:t xml:space="preserve"> X]. The dataset was restructured into a file </w:t>
      </w:r>
      <w:r>
        <w:lastRenderedPageBreak/>
        <w:t xml:space="preserve">representing the node features matrix by combining the data contained in the “.egofeat”, “.feat” and “.featnames” files into a space separated file of </w:t>
      </w:r>
      <w:r w:rsidRPr="006A73D2">
        <w:t>1</w:t>
      </w:r>
      <w:r>
        <w:t>.</w:t>
      </w:r>
      <w:r w:rsidRPr="006A73D2">
        <w:t>406</w:t>
      </w:r>
      <w:r>
        <w:t xml:space="preserve"> columns for each feature and 4.039 lines for each node, comprised of zeros and ones, along with the provided “facebook_combined.txt” containing the information about the graph connectivity.</w:t>
      </w:r>
    </w:p>
    <w:p w14:paraId="75E36A7B" w14:textId="70FA618C"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in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comprehensive</w:t>
      </w:r>
      <w:r w:rsidRPr="00D628BC">
        <w:t xml:space="preserve"> evaluation process of our recommendation system's performance through prediction and ranking metrics.</w:t>
      </w:r>
    </w:p>
    <w:p w14:paraId="1B6D0EE7" w14:textId="473FA3C7"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connections / friendships,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D628BC" w:rsidRDefault="006A73D2" w:rsidP="006A73D2">
      <w:pPr>
        <w:pStyle w:val="Style1"/>
      </w:pPr>
      <w:r>
        <w:t>Specifically, t</w:t>
      </w:r>
      <w:r w:rsidR="00FC6F6B" w:rsidRPr="00FC6F6B">
        <w:t>he metrics utilized for evaluating the recommendation model</w:t>
      </w:r>
      <w:r>
        <w:t xml:space="preserve"> are distinguished into two types</w:t>
      </w:r>
      <w:r w:rsidR="00FC6F6B" w:rsidRPr="00FC6F6B">
        <w:t>:</w:t>
      </w:r>
    </w:p>
    <w:p w14:paraId="71CD675A" w14:textId="4D4E9745" w:rsidR="002223B0" w:rsidRPr="001758F9" w:rsidRDefault="00496C5B" w:rsidP="006A73D2">
      <w:pPr>
        <w:pStyle w:val="Heading4"/>
      </w:pPr>
      <w:r>
        <w:t>Accuracy</w:t>
      </w:r>
      <w:r w:rsidR="00F74358">
        <w:t xml:space="preserve"> Based Metric</w:t>
      </w:r>
      <w:r w:rsidR="002223B0" w:rsidRPr="001758F9">
        <w:t xml:space="preserve">: </w:t>
      </w:r>
      <w:r w:rsidR="00D628BC" w:rsidRPr="006A73D2">
        <w:rPr>
          <w:i w:val="0"/>
          <w:iCs w:val="0"/>
        </w:rPr>
        <w:t>the model's performance is evaluated on the test set using the Area Under the Curve (AUC) metric</w:t>
      </w:r>
      <w:r w:rsidR="002223B0" w:rsidRPr="006A73D2">
        <w:rPr>
          <w:i w:val="0"/>
          <w:iCs w:val="0"/>
        </w:rPr>
        <w:t>.</w:t>
      </w:r>
      <w:r w:rsidR="006A73D2" w:rsidRPr="006A73D2">
        <w:rPr>
          <w:i w:val="0"/>
          <w:iCs w:val="0"/>
        </w:rPr>
        <w:t xml:space="preserve"> AUC is a statistical metric representing the area under the receiver operating characteristic (ROC) curve, where higher values indicate better discrimination between classes.</w:t>
      </w:r>
    </w:p>
    <w:p w14:paraId="7002EEDD" w14:textId="055587CD" w:rsidR="002223B0" w:rsidRPr="006A73D2" w:rsidRDefault="00F74358" w:rsidP="006A73D2">
      <w:pPr>
        <w:pStyle w:val="Heading4"/>
        <w:rPr>
          <w:i w:val="0"/>
          <w:iCs w:val="0"/>
        </w:rPr>
      </w:pPr>
      <w:r>
        <w:t>Ranking Based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nessesary</w:t>
      </w:r>
      <w:r w:rsidR="00F900F3" w:rsidRPr="000D5677">
        <w:rPr>
          <w:i w:val="0"/>
          <w:iCs w:val="0"/>
        </w:rPr>
        <w:t xml:space="preserve"> for </w:t>
      </w:r>
      <w:r w:rsidR="000D5677" w:rsidRPr="000D5677">
        <w:rPr>
          <w:i w:val="0"/>
          <w:iCs w:val="0"/>
        </w:rPr>
        <w:t>this quantative evaluation</w:t>
      </w:r>
      <w:r w:rsidR="00F900F3" w:rsidRPr="000D5677">
        <w:rPr>
          <w:i w:val="0"/>
          <w:iCs w:val="0"/>
        </w:rPr>
        <w:t>,</w:t>
      </w:r>
      <w:r w:rsidR="000D5677" w:rsidRPr="000D5677">
        <w:rPr>
          <w:i w:val="0"/>
          <w:iCs w:val="0"/>
        </w:rPr>
        <w:t xml:space="preserve"> since standard accuracy metrics do not consider the position in the top K predictions. To rectify this shortfall,</w:t>
      </w:r>
      <w:r w:rsidR="00F900F3" w:rsidRPr="000D5677">
        <w:rPr>
          <w:i w:val="0"/>
          <w:iCs w:val="0"/>
        </w:rPr>
        <w:t xml:space="preserve"> the following metrics will be used:</w:t>
      </w:r>
    </w:p>
    <w:p w14:paraId="48B58370" w14:textId="3DA8209E" w:rsidR="00F900F3" w:rsidRDefault="00F900F3" w:rsidP="006A73D2">
      <w:pPr>
        <w:pStyle w:val="Style1"/>
        <w:numPr>
          <w:ilvl w:val="0"/>
          <w:numId w:val="27"/>
        </w:numPr>
        <w:rPr>
          <w:i/>
          <w:iCs/>
        </w:rPr>
      </w:pPr>
      <w:r>
        <w:t>Hits@K</w:t>
      </w:r>
      <w:r w:rsidR="002223B0" w:rsidRPr="001758F9">
        <w:t>:</w:t>
      </w:r>
      <w:r w:rsidRPr="00F900F3">
        <w:t xml:space="preserve"> Measures </w:t>
      </w:r>
      <w:r w:rsidR="006A73D2" w:rsidRPr="006A73D2">
        <w:t>the proportion of relevant items among the top k recommendations, providing insights into the system's ability to retrieve relevant items within a given recommendation list.</w:t>
      </w:r>
      <w:r w:rsidR="006A73D2">
        <w:rPr>
          <w:i/>
          <w:iCs/>
        </w:rPr>
        <w:t xml:space="preserve"> It is calculated through the following </w:t>
      </w:r>
      <w:r w:rsidR="006A73D2" w:rsidRPr="006A73D2">
        <w:rPr>
          <w:i/>
          <w:iCs/>
          <w:highlight w:val="yellow"/>
        </w:rPr>
        <w:t>formula</w:t>
      </w:r>
      <w:r w:rsidR="006A73D2">
        <w:rPr>
          <w:i/>
          <w:iCs/>
        </w:rPr>
        <w:t>:</w:t>
      </w:r>
    </w:p>
    <w:p w14:paraId="4A45B502" w14:textId="77777777" w:rsidR="006A73D2" w:rsidRPr="006A73D2" w:rsidRDefault="006A73D2" w:rsidP="006A73D2">
      <w:pPr>
        <w:pStyle w:val="Style1"/>
      </w:pPr>
    </w:p>
    <w:p w14:paraId="18274772" w14:textId="34A700C0" w:rsid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NDCG@K is computed </w:t>
      </w:r>
      <w:r w:rsidR="006A73D2" w:rsidRPr="006A73D2">
        <w:rPr>
          <w:i/>
          <w:highlight w:val="yellow"/>
        </w:rPr>
        <w:t>as:</w:t>
      </w:r>
    </w:p>
    <w:p w14:paraId="1D090723" w14:textId="77777777" w:rsidR="00F7357C" w:rsidRPr="00F900F3" w:rsidRDefault="00F7357C" w:rsidP="00F7357C">
      <w:pPr>
        <w:pStyle w:val="Style1"/>
        <w:ind w:firstLine="0pt"/>
        <w:rPr>
          <w:i/>
        </w:rPr>
      </w:pPr>
    </w:p>
    <w:p w14:paraId="5241334B" w14:textId="0B735C11" w:rsidR="00F900F3" w:rsidRDefault="00F900F3" w:rsidP="006A73D2">
      <w:pPr>
        <w:pStyle w:val="Style1"/>
        <w:numPr>
          <w:ilvl w:val="0"/>
          <w:numId w:val="27"/>
        </w:numPr>
        <w:rPr>
          <w:i/>
          <w:iCs/>
        </w:rPr>
      </w:pPr>
      <w:r w:rsidRPr="00F900F3">
        <w:t>MRR (Mean Reciprocal Rank): Assesses the effectiveness of the recommendation by considering the rank of the first correct recommendation</w:t>
      </w:r>
      <w:r w:rsidR="006A73D2">
        <w:rPr>
          <w:i/>
          <w:iCs/>
        </w:rPr>
        <w:t xml:space="preserve">, as determined by the ensuing </w:t>
      </w:r>
      <w:r w:rsidR="006A73D2" w:rsidRPr="006A73D2">
        <w:rPr>
          <w:i/>
          <w:iCs/>
          <w:highlight w:val="yellow"/>
        </w:rPr>
        <w:t>equation</w:t>
      </w:r>
      <w:r w:rsidR="006A73D2">
        <w:rPr>
          <w:i/>
          <w:iCs/>
        </w:rPr>
        <w:t xml:space="preserve">: </w:t>
      </w:r>
    </w:p>
    <w:p w14:paraId="40238321" w14:textId="77777777" w:rsidR="00F7357C" w:rsidRDefault="00F7357C" w:rsidP="00F7357C">
      <w:pPr>
        <w:pStyle w:val="Style1"/>
        <w:ind w:firstLine="0pt"/>
        <w:rPr>
          <w:i/>
          <w:iCs/>
        </w:rPr>
      </w:pPr>
    </w:p>
    <w:p w14:paraId="4E9CE247" w14:textId="32281BDF" w:rsidR="006A73D2" w:rsidRDefault="006A73D2" w:rsidP="006A73D2">
      <w:pPr>
        <w:pStyle w:val="Heading3"/>
      </w:pPr>
      <w:r>
        <w:t>Training Process</w:t>
      </w:r>
    </w:p>
    <w:p w14:paraId="39461DD7" w14:textId="503DEDFC" w:rsidR="006A73D2" w:rsidRDefault="006A73D2" w:rsidP="006A73D2">
      <w:pPr>
        <w:pStyle w:val="Style1"/>
      </w:pPr>
      <w:r w:rsidRPr="006A73D2">
        <w:t xml:space="preserve">Our model is trained using a configuration comprising layers of message passing graph convolutional operations, each possessing a hidden dimension size of 64 and an output embedding dimension </w:t>
      </w:r>
      <w:r>
        <w:rPr>
          <w:rFonts w:ascii="Cambria Math" w:hAnsi="Cambria Math" w:cs="Cambria Math"/>
        </w:rPr>
        <w:t>of</w:t>
      </w:r>
      <w:r w:rsidRPr="006A73D2">
        <w:t xml:space="preserve"> 64. Within each layer, the 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A dropout, with a default rate of 0.5, is applied between layers during model training. </w:t>
      </w:r>
    </w:p>
    <w:p w14:paraId="0A151CB0" w14:textId="44DF2DA4" w:rsidR="006A73D2" w:rsidRDefault="006A73D2" w:rsidP="006A73D2">
      <w:pPr>
        <w:pStyle w:val="Style1"/>
      </w:pPr>
      <w:r w:rsidRPr="006A73D2">
        <w:t>The training process involves conducting a series of experiments across epochs, encompassing 30, 50, 100, 200</w:t>
      </w:r>
      <w:r w:rsidR="00460E2E">
        <w:t xml:space="preserve"> and 1000</w:t>
      </w:r>
      <w:r w:rsidRPr="006A73D2">
        <w:t xml:space="preserve"> maximum epochs. A Stochastic Gradient Descent optimizer, coupled with a learning rate of 0.01 and momentum of 0.9, is employed for this purpose. Additionally, a learning rate decay of 0.5 is applied every 25 epochs using the StepLR scheduler.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GitHub repository.</w:t>
      </w:r>
    </w:p>
    <w:p w14:paraId="43A763B9" w14:textId="77777777" w:rsidR="006A73D2" w:rsidRDefault="006A73D2" w:rsidP="006A73D2">
      <w:pPr>
        <w:pStyle w:val="Heading2"/>
      </w:pPr>
      <w:r>
        <w:t>Cross Evaluation Baseline</w:t>
      </w:r>
    </w:p>
    <w:p w14:paraId="7D59DD60" w14:textId="13B8D3AC" w:rsidR="006A73D2" w:rsidRDefault="006A73D2" w:rsidP="006A73D2">
      <w:pPr>
        <w:pStyle w:val="Style1"/>
      </w:pPr>
      <w:r w:rsidRPr="006A73D2">
        <w:t>Aspiring to further evaluate the GCN model effectiveness, we performed a</w:t>
      </w:r>
      <w:r>
        <w:t xml:space="preserve"> cross evaluation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Truncated Singular Value Decomposition (SVD) is a mathematical technique used for reducing the dimensionality of a matrix while preserving its essential structure.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 xml:space="preserve">Truncated SVD finds applications in various fields, including data compression, noise reduction, feature extraction, and latent semantic analysis. It is widely utilized in machine learning tasks in recommendation systems where </w:t>
      </w:r>
      <w:r>
        <w:lastRenderedPageBreak/>
        <w:t>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0A85A271" w:rsidR="006A73D2" w:rsidRPr="006A73D2" w:rsidRDefault="006A73D2" w:rsidP="006A73D2">
      <w:pPr>
        <w:pStyle w:val="Style1"/>
      </w:pPr>
      <w:r>
        <w:t>In our implementation tSVD performs dimensionality reduction from the input dimension of 1406 to output dimension of 64 accompanied by a linear transformation. The training process remained the same between tSVD and GCN models to provide consistent and comparable results.</w:t>
      </w:r>
    </w:p>
    <w:p w14:paraId="0B5E5AB2" w14:textId="7DD7C1A6" w:rsidR="00FC6F6B" w:rsidRDefault="002223B0" w:rsidP="003165BD">
      <w:pPr>
        <w:pStyle w:val="Heading2"/>
        <w:rPr>
          <w:noProof w:val="0"/>
        </w:rPr>
      </w:pPr>
      <w:r w:rsidRPr="001758F9">
        <w:rPr>
          <w:noProof w:val="0"/>
        </w:rPr>
        <w:t>Experiment Results</w:t>
      </w:r>
    </w:p>
    <w:p w14:paraId="671495EE" w14:textId="1277749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accuracy </w:t>
      </w:r>
      <w:r w:rsidR="007822C8">
        <w:t>/ ranking</w:t>
      </w:r>
      <w:r w:rsidR="006A73D2">
        <w:t xml:space="preserve"> evaluation metrics.</w:t>
      </w:r>
    </w:p>
    <w:p w14:paraId="382E06BB" w14:textId="40F66C8E" w:rsidR="00BA6A4C" w:rsidRDefault="004869AF" w:rsidP="00BA6A4C">
      <w:pPr>
        <w:pStyle w:val="Style1"/>
        <w:rPr>
          <w:noProof/>
        </w:rPr>
      </w:pPr>
      <w:r w:rsidRPr="004869AF">
        <w:t xml:space="preserve">The </w:t>
      </w:r>
      <w:r w:rsidR="00BA6A4C" w:rsidRPr="004869AF">
        <w:t>observations and insights based on the provided results</w:t>
      </w:r>
      <w:r>
        <w:t xml:space="preserve"> can be summarized as following</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p w14:paraId="306B3FD7" w14:textId="7643C6D0" w:rsidR="00F7357C" w:rsidRDefault="002E1A6F" w:rsidP="002E1A6F">
      <w:pPr>
        <w:jc w:val="start"/>
      </w:pPr>
      <w:r>
        <w:rPr>
          <w:noProof/>
        </w:rPr>
        <w:drawing>
          <wp:inline distT="0" distB="0" distL="0" distR="0" wp14:anchorId="212F1D37" wp14:editId="59E6333A">
            <wp:extent cx="3089910" cy="1224994"/>
            <wp:effectExtent l="0" t="0" r="15240" b="13335"/>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Default="002E1A6F" w:rsidP="002E1A6F">
      <w:pPr>
        <w:jc w:val="start"/>
      </w:pPr>
      <w:r>
        <w:rPr>
          <w:noProof/>
        </w:rPr>
        <w:drawing>
          <wp:inline distT="0" distB="0" distL="0" distR="0" wp14:anchorId="6AD36972" wp14:editId="0079A05F">
            <wp:extent cx="3089910" cy="1224792"/>
            <wp:effectExtent l="0" t="0" r="15240" b="1397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77777777" w:rsidR="002E1A6F" w:rsidRPr="00BA6A4C" w:rsidRDefault="002E1A6F" w:rsidP="002E1A6F">
                              <w:pPr>
                                <w:pStyle w:val="tablecolhead"/>
                                <w:rPr>
                                  <w:b w:val="0"/>
                                  <w:bCs w:val="0"/>
                                </w:rPr>
                              </w:pPr>
                            </w:p>
                          </w:tc>
                          <w:tc>
                            <w:tcPr>
                              <w:tcW w:w="35.45pt" w:type="dxa"/>
                              <w:shd w:val="clear" w:color="auto" w:fill="F2F2F2" w:themeFill="background1" w:themeFillShade="F2"/>
                              <w:vAlign w:val="center"/>
                            </w:tcPr>
                            <w:p w14:paraId="579CFACA" w14:textId="77777777" w:rsidR="002E1A6F" w:rsidRPr="00733AF2" w:rsidRDefault="002E1A6F" w:rsidP="002E1A6F">
                              <w:pPr>
                                <w:pStyle w:val="tablecolhead"/>
                              </w:pPr>
                            </w:p>
                          </w:tc>
                          <w:tc>
                            <w:tcPr>
                              <w:tcW w:w="42.50pt" w:type="dxa"/>
                              <w:shd w:val="clear" w:color="auto" w:fill="F2F2F2" w:themeFill="background1" w:themeFillShade="F2"/>
                              <w:vAlign w:val="center"/>
                            </w:tcPr>
                            <w:p w14:paraId="3C4E005C" w14:textId="77777777" w:rsidR="002E1A6F" w:rsidRPr="00BA6A4C" w:rsidRDefault="002E1A6F" w:rsidP="002E1A6F">
                              <w:pPr>
                                <w:pStyle w:val="tablecolhead"/>
                                <w:rPr>
                                  <w:b w:val="0"/>
                                  <w:bCs w:val="0"/>
                                </w:rPr>
                              </w:pPr>
                            </w:p>
                          </w:tc>
                          <w:tc>
                            <w:tcPr>
                              <w:tcW w:w="35.45pt" w:type="dxa"/>
                              <w:shd w:val="clear" w:color="auto" w:fill="F2F2F2" w:themeFill="background1" w:themeFillShade="F2"/>
                              <w:vAlign w:val="center"/>
                            </w:tcPr>
                            <w:p w14:paraId="17708F42" w14:textId="77777777" w:rsidR="002E1A6F" w:rsidRPr="00BA6A4C" w:rsidRDefault="002E1A6F" w:rsidP="002E1A6F">
                              <w:pPr>
                                <w:pStyle w:val="tablecolhead"/>
                                <w:rPr>
                                  <w:b w:val="0"/>
                                  <w:bCs w:val="0"/>
                                </w:rPr>
                              </w:pP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77777777" w:rsidR="002E1A6F" w:rsidRPr="00BA6A4C" w:rsidRDefault="002E1A6F" w:rsidP="002E1A6F">
                              <w:pPr>
                                <w:pStyle w:val="tablecolhead"/>
                                <w:rPr>
                                  <w:b w:val="0"/>
                                  <w:bCs w:val="0"/>
                                </w:rPr>
                              </w:pPr>
                            </w:p>
                          </w:tc>
                          <w:tc>
                            <w:tcPr>
                              <w:tcW w:w="42.50pt" w:type="dxa"/>
                              <w:vAlign w:val="center"/>
                            </w:tcPr>
                            <w:p w14:paraId="53CB2FC5" w14:textId="77777777" w:rsidR="002E1A6F" w:rsidRPr="00733AF2" w:rsidRDefault="002E1A6F" w:rsidP="002E1A6F">
                              <w:pPr>
                                <w:pStyle w:val="tablecolhead"/>
                              </w:pPr>
                            </w:p>
                          </w:tc>
                          <w:tc>
                            <w:tcPr>
                              <w:tcW w:w="35.45pt" w:type="dxa"/>
                              <w:vAlign w:val="center"/>
                            </w:tcPr>
                            <w:p w14:paraId="34F46CF0" w14:textId="77777777" w:rsidR="002E1A6F" w:rsidRPr="00733AF2" w:rsidRDefault="002E1A6F" w:rsidP="002E1A6F">
                              <w:pPr>
                                <w:pStyle w:val="tablecolhead"/>
                              </w:pP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77777777" w:rsidR="002E1A6F" w:rsidRPr="00BA6A4C" w:rsidRDefault="002E1A6F" w:rsidP="002E1A6F">
                              <w:pPr>
                                <w:pStyle w:val="tablecolhead"/>
                                <w:rPr>
                                  <w:b w:val="0"/>
                                  <w:bCs w:val="0"/>
                                </w:rPr>
                              </w:pPr>
                            </w:p>
                          </w:tc>
                          <w:tc>
                            <w:tcPr>
                              <w:tcW w:w="35.45pt" w:type="dxa"/>
                              <w:shd w:val="clear" w:color="auto" w:fill="F2F2F2" w:themeFill="background1" w:themeFillShade="F2"/>
                              <w:vAlign w:val="center"/>
                            </w:tcPr>
                            <w:p w14:paraId="6D352B1D" w14:textId="77777777" w:rsidR="002E1A6F" w:rsidRPr="00BA6A4C" w:rsidRDefault="002E1A6F" w:rsidP="002E1A6F">
                              <w:pPr>
                                <w:pStyle w:val="tablecolhead"/>
                                <w:rPr>
                                  <w:b w:val="0"/>
                                  <w:bCs w:val="0"/>
                                </w:rPr>
                              </w:pPr>
                            </w:p>
                          </w:tc>
                          <w:tc>
                            <w:tcPr>
                              <w:tcW w:w="42.50pt" w:type="dxa"/>
                              <w:shd w:val="clear" w:color="auto" w:fill="F2F2F2" w:themeFill="background1" w:themeFillShade="F2"/>
                              <w:vAlign w:val="center"/>
                            </w:tcPr>
                            <w:p w14:paraId="2BC3E921" w14:textId="77777777" w:rsidR="002E1A6F" w:rsidRPr="00BA6A4C" w:rsidRDefault="002E1A6F" w:rsidP="002E1A6F">
                              <w:pPr>
                                <w:pStyle w:val="tablecolhead"/>
                                <w:rPr>
                                  <w:b w:val="0"/>
                                  <w:bCs w:val="0"/>
                                </w:rPr>
                              </w:pPr>
                            </w:p>
                          </w:tc>
                          <w:tc>
                            <w:tcPr>
                              <w:tcW w:w="35.45pt" w:type="dxa"/>
                              <w:shd w:val="clear" w:color="auto" w:fill="F2F2F2" w:themeFill="background1" w:themeFillShade="F2"/>
                            </w:tcPr>
                            <w:p w14:paraId="15D3588E" w14:textId="77777777" w:rsidR="002E1A6F" w:rsidRPr="00BA6A4C" w:rsidRDefault="002E1A6F" w:rsidP="002E1A6F">
                              <w:pPr>
                                <w:pStyle w:val="tablecolhead"/>
                                <w:rPr>
                                  <w:b w:val="0"/>
                                  <w:bCs w:val="0"/>
                                </w:rPr>
                              </w:pP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77777777" w:rsidR="002E1A6F" w:rsidRPr="00BA6A4C" w:rsidRDefault="002E1A6F" w:rsidP="002E1A6F">
                              <w:pPr>
                                <w:pStyle w:val="tablecolhead"/>
                                <w:rPr>
                                  <w:b w:val="0"/>
                                  <w:bCs w:val="0"/>
                                </w:rPr>
                              </w:pPr>
                            </w:p>
                          </w:tc>
                          <w:tc>
                            <w:tcPr>
                              <w:tcW w:w="42.50pt" w:type="dxa"/>
                              <w:vAlign w:val="center"/>
                            </w:tcPr>
                            <w:p w14:paraId="61061AE7" w14:textId="77777777" w:rsidR="002E1A6F" w:rsidRPr="00BA6A4C" w:rsidRDefault="002E1A6F" w:rsidP="002E1A6F">
                              <w:pPr>
                                <w:pStyle w:val="tablecolhead"/>
                                <w:rPr>
                                  <w:b w:val="0"/>
                                  <w:bCs w:val="0"/>
                                </w:rPr>
                              </w:pPr>
                            </w:p>
                          </w:tc>
                          <w:tc>
                            <w:tcPr>
                              <w:tcW w:w="35.45pt" w:type="dxa"/>
                            </w:tcPr>
                            <w:p w14:paraId="4242FFB6" w14:textId="77777777" w:rsidR="002E1A6F" w:rsidRPr="00BA6A4C" w:rsidRDefault="002E1A6F" w:rsidP="002E1A6F">
                              <w:pPr>
                                <w:pStyle w:val="tablecolhead"/>
                                <w:rPr>
                                  <w:b w:val="0"/>
                                  <w:bCs w:val="0"/>
                                </w:rPr>
                              </w:pP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Default="002E1A6F" w:rsidP="002E1A6F">
      <w:pPr>
        <w:jc w:val="start"/>
      </w:pPr>
      <w:r>
        <w:rPr>
          <w:noProof/>
        </w:rPr>
        <w:drawing>
          <wp:inline distT="0" distB="0" distL="0" distR="0" wp14:anchorId="08EE345C" wp14:editId="19756266">
            <wp:extent cx="3089910" cy="1216404"/>
            <wp:effectExtent l="0" t="0" r="15240" b="2222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Default="002E1A6F" w:rsidP="002E1A6F">
      <w:pPr>
        <w:jc w:val="start"/>
      </w:pPr>
      <w:r>
        <w:rPr>
          <w:noProof/>
        </w:rPr>
        <w:drawing>
          <wp:inline distT="0" distB="0" distL="0" distR="0" wp14:anchorId="2EEA4186" wp14:editId="72FEDB8F">
            <wp:extent cx="3089910" cy="1247775"/>
            <wp:effectExtent l="0" t="0" r="15240" b="2857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20F06848" w14:textId="2654E4D9" w:rsidR="004869AF" w:rsidRDefault="002E1A6F" w:rsidP="002E1A6F">
      <w:pPr>
        <w:jc w:val="start"/>
      </w:pPr>
      <w:r>
        <w:rPr>
          <w:noProof/>
        </w:rPr>
        <w:drawing>
          <wp:inline distT="0" distB="0" distL="0" distR="0" wp14:anchorId="2B46F283" wp14:editId="411D911D">
            <wp:extent cx="3076575" cy="1216404"/>
            <wp:effectExtent l="0" t="0" r="28575" b="2222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2160145" w14:textId="1E77FB81" w:rsidR="002E1A6F" w:rsidRDefault="002E1A6F" w:rsidP="002E1A6F">
      <w:pPr>
        <w:jc w:val="start"/>
      </w:pPr>
      <w:r>
        <w:rPr>
          <w:noProof/>
        </w:rPr>
        <w:drawing>
          <wp:inline distT="0" distB="0" distL="0" distR="0" wp14:anchorId="7BF83B3B" wp14:editId="33E5C0B2">
            <wp:extent cx="3061981" cy="1652632"/>
            <wp:effectExtent l="0" t="0" r="24130" b="24130"/>
            <wp:docPr id="9658882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1981" cy="1652632"/>
                    </a:xfrm>
                    <a:prstGeom prst="rect">
                      <a:avLst/>
                    </a:prstGeom>
                    <a:solidFill>
                      <a:srgbClr val="FFFFFF"/>
                    </a:solidFill>
                    <a:ln w="9525">
                      <a:solidFill>
                        <a:srgbClr val="002060"/>
                      </a:solidFill>
                      <a:miter lim="800%"/>
                      <a:headEnd/>
                      <a:tailEnd/>
                    </a:ln>
                  </wp:spPr>
                  <wp:txbx>
                    <wne:txbxContent>
                      <w:p w14:paraId="6C42A67E" w14:textId="77777777" w:rsidR="002E1A6F" w:rsidRDefault="002E1A6F" w:rsidP="002E1A6F">
                        <w:r>
                          <w:rPr>
                            <w:noProof/>
                          </w:rPr>
                          <w:drawing>
                            <wp:inline distT="0" distB="0" distL="0" distR="0" wp14:anchorId="53FA2C3A" wp14:editId="0831D650">
                              <wp:extent cx="2852257" cy="1310658"/>
                              <wp:effectExtent l="0" t="0" r="5715" b="3810"/>
                              <wp:docPr id="2087244969" name="Picture 1" descr="A graph and chart with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7244969" name="Picture 1" descr="A graph and chart with numbers&#10;&#10;Description automatically generated with medium confidence"/>
                                      <pic:cNvPicPr/>
                                    </pic:nvPicPr>
                                    <pic:blipFill>
                                      <a:blip r:embed="rId11"/>
                                      <a:stretch>
                                        <a:fillRect/>
                                      </a:stretch>
                                    </pic:blipFill>
                                    <pic:spPr>
                                      <a:xfrm>
                                        <a:off x="0" y="0"/>
                                        <a:ext cx="2874391" cy="1320829"/>
                                      </a:xfrm>
                                      <a:prstGeom prst="rect">
                                        <a:avLst/>
                                      </a:prstGeom>
                                    </pic:spPr>
                                  </pic:pic>
                                </a:graphicData>
                              </a:graphic>
                            </wp:inline>
                          </w:drawing>
                        </w:r>
                      </w:p>
                      <w:p w14:paraId="2FB25FA8"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41D551DD" w14:textId="77777777" w:rsidR="002E1A6F" w:rsidRDefault="002E1A6F" w:rsidP="002E1A6F"/>
                    </wne:txbxContent>
                  </wp:txbx>
                  <wp:bodyPr rot="0" vert="horz" wrap="square" lIns="91440" tIns="45720" rIns="91440" bIns="45720" anchor="t" anchorCtr="0" upright="1">
                    <a:noAutofit/>
                  </wp:bodyPr>
                </wp:wsp>
              </a:graphicData>
            </a:graphic>
          </wp:inline>
        </w:drawing>
      </w:r>
    </w:p>
    <w:p w14:paraId="0027C384" w14:textId="1FDA2055" w:rsidR="002E1A6F" w:rsidRDefault="002E1A6F" w:rsidP="002E1A6F">
      <w:pPr>
        <w:jc w:val="start"/>
      </w:pPr>
      <w:r>
        <w:rPr>
          <w:noProof/>
        </w:rPr>
        <w:drawing>
          <wp:inline distT="0" distB="0" distL="0" distR="0" wp14:anchorId="0E171A53" wp14:editId="27599388">
            <wp:extent cx="3061981" cy="1652632"/>
            <wp:effectExtent l="0" t="0" r="24130" b="2413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1981" cy="1652632"/>
                    </a:xfrm>
                    <a:prstGeom prst="rect">
                      <a:avLst/>
                    </a:prstGeom>
                    <a:solidFill>
                      <a:srgbClr val="FFFFFF"/>
                    </a:solidFill>
                    <a:ln w="9525">
                      <a:solidFill>
                        <a:srgbClr val="002060"/>
                      </a:solidFill>
                      <a:miter lim="800%"/>
                      <a:headEnd/>
                      <a:tailEnd/>
                    </a:ln>
                  </wp:spPr>
                  <wp:txbx>
                    <wne:txbxContent>
                      <w:p w14:paraId="4B4A57BC" w14:textId="77777777" w:rsidR="002E1A6F" w:rsidRDefault="002E1A6F" w:rsidP="002E1A6F">
                        <w:pPr>
                          <w:jc w:val="start"/>
                        </w:pPr>
                        <w:r>
                          <w:rPr>
                            <w:noProof/>
                          </w:rPr>
                          <w:drawing>
                            <wp:inline distT="0" distB="0" distL="0" distR="0" wp14:anchorId="3658C6D8" wp14:editId="1A7265C6">
                              <wp:extent cx="1457833" cy="1320829"/>
                              <wp:effectExtent l="0" t="0" r="9525"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7833" cy="1320829"/>
                                      </a:xfrm>
                                      <a:prstGeom prst="rect">
                                        <a:avLst/>
                                      </a:prstGeom>
                                    </pic:spPr>
                                  </pic:pic>
                                </a:graphicData>
                              </a:graphic>
                            </wp:inline>
                          </w:drawing>
                        </w:r>
                      </w:p>
                      <w:p w14:paraId="7E14AD59"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7A4B2F4E" w14:textId="77777777" w:rsidR="002E1A6F" w:rsidRDefault="002E1A6F" w:rsidP="002E1A6F"/>
                    </wne:txbxContent>
                  </wp:txbx>
                  <wp:bodyPr rot="0" vert="horz" wrap="square" lIns="91440" tIns="45720" rIns="91440" bIns="45720" anchor="t" anchorCtr="0" upright="1">
                    <a:noAutofit/>
                  </wp:bodyPr>
                </wp:wsp>
              </a:graphicData>
            </a:graphic>
          </wp:inline>
        </w:drawing>
      </w:r>
    </w:p>
    <w:p w14:paraId="4F3E7D55" w14:textId="77777777" w:rsidR="002E1A6F" w:rsidRPr="003165BD" w:rsidRDefault="002E1A6F" w:rsidP="002E1A6F">
      <w:pPr>
        <w:jc w:val="start"/>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This suggests that GCN demonstrates superior discriminatory power in distinguishing positive and negative instances.</w:t>
      </w:r>
    </w:p>
    <w:p w14:paraId="7C629204" w14:textId="6645DF79" w:rsidR="003165BD" w:rsidRPr="00F900F3"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(GCN 0.0252-0.0273 versus tSVD 0.0126-0.0166) and MRR (GCN 0.0209-0.0253 versus tSVD 0.0097-0.0134)</w:t>
      </w:r>
      <w:r w:rsidR="001B48EB" w:rsidRPr="001B48EB">
        <w:rPr>
          <w:i w:val="0"/>
          <w:iCs w:val="0"/>
          <w:noProof w:val="0"/>
        </w:rPr>
        <w:t>. GCN's higher values indicate better performance in accurately recommending relevant items within the top-5 recommendations</w:t>
      </w:r>
      <w:r w:rsidR="003165BD" w:rsidRPr="00F900F3">
        <w:rPr>
          <w:noProof w:val="0"/>
        </w:rPr>
        <w:t>.</w:t>
      </w:r>
    </w:p>
    <w:p w14:paraId="40468A8B" w14:textId="7963348F"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 results</w:t>
      </w:r>
      <w:r w:rsidRPr="00F900F3">
        <w:rPr>
          <w:i w:val="0"/>
          <w:noProof w:val="0"/>
        </w:rPr>
        <w:t xml:space="preserve">: </w:t>
      </w:r>
      <w:r w:rsidR="001B48EB" w:rsidRPr="001B48EB">
        <w:rPr>
          <w:i w:val="0"/>
          <w:noProof w:val="0"/>
        </w:rPr>
        <w:t xml:space="preserve">Similar to the Top-5 metrics, GCN also outperforms tSVD </w:t>
      </w:r>
      <w:r w:rsidR="004869AF" w:rsidRPr="001B48EB">
        <w:rPr>
          <w:i w:val="0"/>
          <w:iCs w:val="0"/>
          <w:noProof w:val="0"/>
        </w:rPr>
        <w:t>across all three metrics</w:t>
      </w:r>
      <w:r w:rsidR="004869AF">
        <w:rPr>
          <w:i w:val="0"/>
          <w:iCs w:val="0"/>
          <w:noProof w:val="0"/>
        </w:rPr>
        <w:t xml:space="preserve"> Hits (GCN 0.0064-0.0095 versus tSVD 0.0037-0.0048), NDCG (GCN 0.064-0.0868 versus tSVD 0.0407-0.0475) and MRR (GCN 0.0305-0.0395 versus tSVD 0.017-0.0212)</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1C343D68"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impeading on the ranking relevancy performance, as viewed on the figure </w:t>
      </w:r>
      <w:r w:rsidRPr="004869AF">
        <w:rPr>
          <w:rStyle w:val="Style1Char"/>
          <w:i w:val="0"/>
          <w:iCs w:val="0"/>
          <w:highlight w:val="yellow"/>
        </w:rPr>
        <w:t>[X]</w:t>
      </w:r>
      <w:r>
        <w:rPr>
          <w:rStyle w:val="Style1Char"/>
          <w:i w:val="0"/>
          <w:iCs w:val="0"/>
        </w:rPr>
        <w:t>.</w:t>
      </w:r>
    </w:p>
    <w:p w14:paraId="00EDA0EA" w14:textId="1D2B6F9D" w:rsidR="002E1A6F" w:rsidRPr="002E1A6F" w:rsidRDefault="000D5677" w:rsidP="002E1A6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GCN </w:t>
      </w:r>
      <w:r>
        <w:rPr>
          <w:i w:val="0"/>
          <w:iCs w:val="0"/>
        </w:rPr>
        <w:lastRenderedPageBreak/>
        <w:t xml:space="preserve">model of 50% accuracy, while tSVD model failed to converge to 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16363A64" w:rsidR="000D5677" w:rsidRPr="000D5677" w:rsidRDefault="000D5677" w:rsidP="000D5677"/>
    <w:p w14:paraId="2660236F" w14:textId="56170DAB"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the superior predictive and ranking capabilities of GCN.</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341E5E9B" w14:textId="21CB5DEC" w:rsidR="00575BCA" w:rsidRPr="001758F9" w:rsidRDefault="000D5677" w:rsidP="00836367">
      <w:pPr>
        <w:pStyle w:val="BodyText"/>
        <w:rPr>
          <w:lang w:val="en-US"/>
        </w:rPr>
      </w:pPr>
      <w:r w:rsidRPr="000D5677">
        <w:rPr>
          <w:highlight w:val="yellow"/>
          <w:lang w:val="en-US"/>
        </w:rPr>
        <w:t>Interpret results. Compare with grafrank. Performance</w:t>
      </w:r>
      <w:r w:rsidR="0080791D" w:rsidRPr="000D5677">
        <w:rPr>
          <w:highlight w:val="yellow"/>
          <w:lang w:val="en-US"/>
        </w:rPr>
        <w:t>.</w:t>
      </w:r>
      <w:r w:rsidRPr="000D5677">
        <w:rPr>
          <w:highlight w:val="yellow"/>
          <w:lang w:val="en-US"/>
        </w:rPr>
        <w:t xml:space="preserve"> Limitations. Future work.</w:t>
      </w:r>
    </w:p>
    <w:p w14:paraId="0C202300" w14:textId="16E7F7DC" w:rsidR="009303D9" w:rsidRPr="001758F9" w:rsidRDefault="002223B0" w:rsidP="002223B0">
      <w:pPr>
        <w:pStyle w:val="Heading1"/>
        <w:rPr>
          <w:noProof w:val="0"/>
        </w:rPr>
      </w:pPr>
      <w:r w:rsidRPr="001758F9">
        <w:rPr>
          <w:noProof w:val="0"/>
        </w:rPr>
        <w:t>Conclusions</w:t>
      </w:r>
    </w:p>
    <w:p w14:paraId="47EB5D70" w14:textId="3DDF1DEB" w:rsidR="009303D9" w:rsidRPr="001758F9" w:rsidRDefault="000D5677" w:rsidP="00E7596C">
      <w:pPr>
        <w:pStyle w:val="BodyText"/>
        <w:rPr>
          <w:lang w:val="en-US"/>
        </w:rPr>
      </w:pPr>
      <w:r w:rsidRPr="000D5677">
        <w:rPr>
          <w:highlight w:val="yellow"/>
          <w:lang w:val="en-US"/>
        </w:rPr>
        <w:t>Conclusions paragraph.</w:t>
      </w:r>
      <w:r w:rsidR="009303D9" w:rsidRPr="001758F9">
        <w:rPr>
          <w:lang w:val="en-US"/>
        </w:rPr>
        <w:t xml:space="preserve"> </w:t>
      </w:r>
    </w:p>
    <w:p w14:paraId="26BDF0A6" w14:textId="04642C1F" w:rsidR="002223B0" w:rsidRPr="001758F9" w:rsidRDefault="002223B0" w:rsidP="009D7DF7">
      <w:pPr>
        <w:pStyle w:val="Heading5"/>
        <w:rPr>
          <w:noProof w:val="0"/>
        </w:rPr>
      </w:pPr>
      <w:r w:rsidRPr="001758F9">
        <w:rPr>
          <w:noProof w:val="0"/>
        </w:rPr>
        <w:t>References</w:t>
      </w:r>
    </w:p>
    <w:p w14:paraId="5FC5E259" w14:textId="77777777" w:rsidR="002223B0" w:rsidRPr="001758F9" w:rsidRDefault="002223B0" w:rsidP="002223B0">
      <w:pPr>
        <w:pStyle w:val="references"/>
        <w:ind w:start="17.70pt" w:hanging="17.70pt"/>
        <w:rPr>
          <w:noProof w:val="0"/>
        </w:r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p>
    <w:p w14:paraId="3A6DFD8F" w14:textId="11FD5291" w:rsidR="002223B0" w:rsidRPr="001758F9" w:rsidRDefault="002223B0" w:rsidP="009D7DF7">
      <w:pPr>
        <w:pStyle w:val="references"/>
        <w:ind w:start="17.70pt" w:hanging="17.70pt"/>
        <w:rPr>
          <w:rFonts w:eastAsia="SimSun"/>
          <w:b/>
          <w:noProof w:val="0"/>
          <w:color w:val="FF0000"/>
          <w:spacing w:val="-1"/>
          <w:sz w:val="20"/>
          <w:szCs w:val="20"/>
          <w:lang w:eastAsia="x-none"/>
        </w:rPr>
        <w:sectPr w:rsidR="002223B0" w:rsidRPr="001758F9" w:rsidSect="00FF4275">
          <w:type w:val="continuous"/>
          <w:pgSz w:w="595.30pt" w:h="841.90pt" w:code="9"/>
          <w:pgMar w:top="54pt" w:right="45.35pt" w:bottom="72pt" w:left="45.35pt" w:header="36pt" w:footer="36pt" w:gutter="0pt"/>
          <w:cols w:num="2" w:space="18pt"/>
          <w:docGrid w:linePitch="360"/>
        </w:sectPr>
      </w:pPr>
      <w:r w:rsidRPr="001758F9">
        <w:rPr>
          <w:noProof w:val="0"/>
        </w:rPr>
        <w:t>J. Clerk Maxwell, A Treatise on Electricity and Magnetism, 3rd ed., vol. 2. Oxford: Clarendon, 1892, pp.68–73.</w:t>
      </w:r>
    </w:p>
    <w:p w14:paraId="28A51EBB" w14:textId="29ECFCEA" w:rsidR="009303D9" w:rsidRPr="001758F9" w:rsidRDefault="009303D9" w:rsidP="005B520E"/>
    <w:sectPr w:rsidR="009303D9" w:rsidRPr="001758F9" w:rsidSect="00FF427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74E5C4" w14:textId="77777777" w:rsidR="003E50D2" w:rsidRDefault="003E50D2" w:rsidP="001A3B3D">
      <w:r>
        <w:separator/>
      </w:r>
    </w:p>
  </w:endnote>
  <w:endnote w:type="continuationSeparator" w:id="0">
    <w:p w14:paraId="2315E0C8" w14:textId="77777777" w:rsidR="003E50D2" w:rsidRDefault="003E50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77E22DE" w14:textId="77777777" w:rsidR="003E50D2" w:rsidRDefault="003E50D2" w:rsidP="001A3B3D">
      <w:r>
        <w:separator/>
      </w:r>
    </w:p>
  </w:footnote>
  <w:footnote w:type="continuationSeparator" w:id="0">
    <w:p w14:paraId="03C775F4" w14:textId="77777777" w:rsidR="003E50D2" w:rsidRDefault="003E50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1"/>
  </w:num>
  <w:num w:numId="27">
    <w:abstractNumId w:val="20"/>
  </w:num>
  <w:num w:numId="2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34592"/>
    <w:rsid w:val="00037E6D"/>
    <w:rsid w:val="0004781E"/>
    <w:rsid w:val="0008758A"/>
    <w:rsid w:val="000C1E68"/>
    <w:rsid w:val="000C56CB"/>
    <w:rsid w:val="000D5677"/>
    <w:rsid w:val="001758F9"/>
    <w:rsid w:val="001A2EFD"/>
    <w:rsid w:val="001A3B3D"/>
    <w:rsid w:val="001B48EB"/>
    <w:rsid w:val="001B67DC"/>
    <w:rsid w:val="002223B0"/>
    <w:rsid w:val="002254A9"/>
    <w:rsid w:val="00225885"/>
    <w:rsid w:val="00233D97"/>
    <w:rsid w:val="002347A2"/>
    <w:rsid w:val="00241233"/>
    <w:rsid w:val="00243682"/>
    <w:rsid w:val="00255DF6"/>
    <w:rsid w:val="00271813"/>
    <w:rsid w:val="00274A19"/>
    <w:rsid w:val="002850E3"/>
    <w:rsid w:val="002E1A6F"/>
    <w:rsid w:val="003165BD"/>
    <w:rsid w:val="00354FCF"/>
    <w:rsid w:val="003A19E2"/>
    <w:rsid w:val="003B2B40"/>
    <w:rsid w:val="003B4E04"/>
    <w:rsid w:val="003E50D2"/>
    <w:rsid w:val="003E7F40"/>
    <w:rsid w:val="003F5A08"/>
    <w:rsid w:val="00420716"/>
    <w:rsid w:val="004325FB"/>
    <w:rsid w:val="004432BA"/>
    <w:rsid w:val="0044407E"/>
    <w:rsid w:val="00447BB9"/>
    <w:rsid w:val="0046031D"/>
    <w:rsid w:val="00460E2E"/>
    <w:rsid w:val="00473AC9"/>
    <w:rsid w:val="004869AF"/>
    <w:rsid w:val="00496C5B"/>
    <w:rsid w:val="004A651A"/>
    <w:rsid w:val="004C71E8"/>
    <w:rsid w:val="004D72B5"/>
    <w:rsid w:val="004F0280"/>
    <w:rsid w:val="00513637"/>
    <w:rsid w:val="005137AE"/>
    <w:rsid w:val="005407B4"/>
    <w:rsid w:val="00551B7F"/>
    <w:rsid w:val="005528E3"/>
    <w:rsid w:val="0055694B"/>
    <w:rsid w:val="0056610F"/>
    <w:rsid w:val="00575BCA"/>
    <w:rsid w:val="00591241"/>
    <w:rsid w:val="005B0344"/>
    <w:rsid w:val="005B520E"/>
    <w:rsid w:val="005E2800"/>
    <w:rsid w:val="00605825"/>
    <w:rsid w:val="00645D22"/>
    <w:rsid w:val="00651A08"/>
    <w:rsid w:val="00654204"/>
    <w:rsid w:val="0066576C"/>
    <w:rsid w:val="00670434"/>
    <w:rsid w:val="006906B6"/>
    <w:rsid w:val="006A73D2"/>
    <w:rsid w:val="006B6B66"/>
    <w:rsid w:val="006F6D3D"/>
    <w:rsid w:val="00715BEA"/>
    <w:rsid w:val="00733AF2"/>
    <w:rsid w:val="00740EEA"/>
    <w:rsid w:val="007822C8"/>
    <w:rsid w:val="00794804"/>
    <w:rsid w:val="007B33F1"/>
    <w:rsid w:val="007B6DDA"/>
    <w:rsid w:val="007C0308"/>
    <w:rsid w:val="007C2FF2"/>
    <w:rsid w:val="007D6232"/>
    <w:rsid w:val="007F1F99"/>
    <w:rsid w:val="007F768F"/>
    <w:rsid w:val="0080791D"/>
    <w:rsid w:val="00836367"/>
    <w:rsid w:val="0084694B"/>
    <w:rsid w:val="00873603"/>
    <w:rsid w:val="00880043"/>
    <w:rsid w:val="008A2C7D"/>
    <w:rsid w:val="008B1421"/>
    <w:rsid w:val="008B6524"/>
    <w:rsid w:val="008C1B00"/>
    <w:rsid w:val="008C4B23"/>
    <w:rsid w:val="008F6E2C"/>
    <w:rsid w:val="008F78F5"/>
    <w:rsid w:val="009241EF"/>
    <w:rsid w:val="009303D9"/>
    <w:rsid w:val="00931E4B"/>
    <w:rsid w:val="00933C64"/>
    <w:rsid w:val="00962D54"/>
    <w:rsid w:val="00971183"/>
    <w:rsid w:val="00972203"/>
    <w:rsid w:val="009D6B92"/>
    <w:rsid w:val="009D7DF7"/>
    <w:rsid w:val="009F1D79"/>
    <w:rsid w:val="009F5285"/>
    <w:rsid w:val="00A059B3"/>
    <w:rsid w:val="00AD2623"/>
    <w:rsid w:val="00AE3409"/>
    <w:rsid w:val="00AF04C6"/>
    <w:rsid w:val="00AF58BA"/>
    <w:rsid w:val="00B066EF"/>
    <w:rsid w:val="00B11A60"/>
    <w:rsid w:val="00B22613"/>
    <w:rsid w:val="00B44A76"/>
    <w:rsid w:val="00B6394B"/>
    <w:rsid w:val="00B65407"/>
    <w:rsid w:val="00B768D1"/>
    <w:rsid w:val="00B800E0"/>
    <w:rsid w:val="00BA1025"/>
    <w:rsid w:val="00BA58C3"/>
    <w:rsid w:val="00BA6A4C"/>
    <w:rsid w:val="00BB13AA"/>
    <w:rsid w:val="00BC3420"/>
    <w:rsid w:val="00BD06FD"/>
    <w:rsid w:val="00BD670B"/>
    <w:rsid w:val="00BE7D3C"/>
    <w:rsid w:val="00BF5FF6"/>
    <w:rsid w:val="00C0207F"/>
    <w:rsid w:val="00C16117"/>
    <w:rsid w:val="00C3075A"/>
    <w:rsid w:val="00C919A4"/>
    <w:rsid w:val="00C92AA0"/>
    <w:rsid w:val="00CA2575"/>
    <w:rsid w:val="00CA4392"/>
    <w:rsid w:val="00CC393F"/>
    <w:rsid w:val="00D02D7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951"/>
    <w:rsid w:val="00EC15B9"/>
    <w:rsid w:val="00EC53A4"/>
    <w:rsid w:val="00EC659D"/>
    <w:rsid w:val="00ED0149"/>
    <w:rsid w:val="00EF7DE3"/>
    <w:rsid w:val="00F03103"/>
    <w:rsid w:val="00F135AA"/>
    <w:rsid w:val="00F271DE"/>
    <w:rsid w:val="00F627DA"/>
    <w:rsid w:val="00F7288F"/>
    <w:rsid w:val="00F7357C"/>
    <w:rsid w:val="00F74358"/>
    <w:rsid w:val="00F77545"/>
    <w:rsid w:val="00F847A6"/>
    <w:rsid w:val="00F900F3"/>
    <w:rsid w:val="00F9441B"/>
    <w:rsid w:val="00FA4C32"/>
    <w:rsid w:val="00FC68C2"/>
    <w:rsid w:val="00FC6F6B"/>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89455609-F91E-4877-BC47-D26ECF0FA446}"/>
      </w:docPartPr>
      <w:docPartBody>
        <w:p w:rsidR="00000000" w:rsidRDefault="003B7690">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3B7690"/>
    <w:rsid w:val="00CE61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690"/>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2429</TotalTime>
  <Pages>6</Pages>
  <Words>3613</Words>
  <Characters>19514</Characters>
  <Application>Microsoft Office Word</Application>
  <DocSecurity>0</DocSecurity>
  <Lines>162</Lines>
  <Paragraphs>46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Βασίλειος Τσώλης</cp:lastModifiedBy>
  <cp:revision>53</cp:revision>
  <dcterms:created xsi:type="dcterms:W3CDTF">2019-01-08T18:42:00Z</dcterms:created>
  <dcterms:modified xsi:type="dcterms:W3CDTF">2024-02-11T18:57:00Z</dcterms:modified>
</cp:coreProperties>
</file>