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甲胎蛋白（AFP）检测结果参考分析</w:t>
      </w:r>
    </w:p>
    <w:p>
      <w:pPr>
        <w:spacing w:before="200" w:after="200"/>
        <w:ind w:left="170" w:right="170"/>
        <w:shd w:fill="F8D7DA" w:val="clear"/>
      </w:pPr>
      <w:r>
        <w:rPr>
          <w:rFonts w:ascii="微软雅黑" w:hAnsi="微软雅黑" w:eastAsia="微软雅黑"/>
          <w:b/>
          <w:color w:val="842029"/>
          <w:sz w:val="22"/>
        </w:rPr>
        <w:t>⚠ 重要声明：本报告内容仅供健康参考，不能作为医学诊断依据。具体诊断和治疗方案请咨询专业医生。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一、检测结果概览</w:t>
      </w:r>
    </w:p>
    <w:p>
      <w:pPr>
        <w:spacing w:before="120" w:after="240"/>
      </w:pPr>
      <w:r>
        <w:rPr>
          <w:rFonts w:ascii="微软雅黑" w:hAnsi="微软雅黑" w:eastAsia="微软雅黑"/>
          <w:b w:val="0"/>
          <w:color w:val="333333"/>
          <w:sz w:val="22"/>
        </w:rPr>
        <w:t>检测项目：</w:t>
      </w:r>
      <w:r>
        <w:rPr>
          <w:rFonts w:ascii="微软雅黑" w:hAnsi="微软雅黑" w:eastAsia="微软雅黑"/>
          <w:b/>
          <w:color w:val="333333"/>
          <w:sz w:val="22"/>
        </w:rPr>
        <w:t>甲胎蛋白（AFP）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       检测结果：</w:t>
      </w:r>
      <w:r>
        <w:rPr>
          <w:rFonts w:ascii="微软雅黑" w:hAnsi="微软雅黑" w:eastAsia="微软雅黑"/>
          <w:b/>
          <w:color w:val="1F4E79"/>
          <w:sz w:val="28"/>
        </w:rPr>
        <w:t>18.99 ng/ml</w:t>
      </w:r>
    </w:p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正常参考范围对照：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F4E7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人群</w:t>
            </w:r>
          </w:p>
        </w:tc>
        <w:tc>
          <w:tcPr>
            <w:tcW w:type="dxa" w:w="2268"/>
            <w:shd w:fill="1F4E7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正常参考值</w:t>
            </w:r>
          </w:p>
        </w:tc>
        <w:tc>
          <w:tcPr>
            <w:tcW w:type="dxa" w:w="4535"/>
            <w:shd w:fill="1F4E7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健康成人</w:t>
            </w:r>
          </w:p>
        </w:tc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0 ~ 20 ng/ml</w:t>
            </w:r>
          </w:p>
        </w:tc>
        <w:tc>
          <w:tcPr>
            <w:tcW w:type="dxa" w:w="453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最常用参考范围（部分医院为 0~10 或 0~25）</w:t>
            </w:r>
          </w:p>
        </w:tc>
      </w:tr>
      <w:tr>
        <w:tc>
          <w:tcPr>
            <w:tcW w:type="dxa" w:w="1701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孕妇</w:t>
            </w:r>
          </w:p>
        </w:tc>
        <w:tc>
          <w:tcPr>
            <w:tcW w:type="dxa" w:w="2268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可生理性升高</w:t>
            </w:r>
          </w:p>
        </w:tc>
        <w:tc>
          <w:tcPr>
            <w:tcW w:type="dxa" w:w="4535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妊娠期间属正常现象</w:t>
            </w:r>
          </w:p>
        </w:tc>
      </w:tr>
      <w:tr>
        <w:tc>
          <w:tcPr>
            <w:tcW w:type="dxa" w:w="170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新生儿</w:t>
            </w:r>
          </w:p>
        </w:tc>
        <w:tc>
          <w:tcPr>
            <w:tcW w:type="dxa" w:w="22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可明显升高</w:t>
            </w:r>
          </w:p>
        </w:tc>
        <w:tc>
          <w:tcPr>
            <w:tcW w:type="dxa" w:w="453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出生后逐渐下降至正常水平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</w:rPr>
        <w:t>二、初步分析</w:t>
      </w:r>
    </w:p>
    <w:p>
      <w:pPr>
        <w:spacing w:before="200" w:after="200"/>
        <w:ind w:left="170" w:right="170"/>
        <w:shd w:fill="E8F5E9" w:val="clear"/>
      </w:pPr>
      <w:r>
        <w:rPr>
          <w:rFonts w:ascii="微软雅黑" w:hAnsi="微软雅黑" w:eastAsia="微软雅黑"/>
          <w:b/>
          <w:color w:val="0F5132"/>
          <w:sz w:val="22"/>
        </w:rPr>
        <w:t>✅ 您的 AFP 值为 18.99 ng/ml，大概率在正常范围内或仅轻微偏高，不必过度紧张。</w:t>
      </w:r>
    </w:p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不同参考标准下的解读：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 xml:space="preserve">参考范围 0~20 ng/ml → </w:t>
      </w:r>
      <w:r>
        <w:rPr>
          <w:rFonts w:ascii="微软雅黑" w:hAnsi="微软雅黑" w:eastAsia="微软雅黑"/>
          <w:b w:val="0"/>
          <w:color w:val="333333"/>
          <w:sz w:val="22"/>
        </w:rPr>
        <w:t>在正常范围内，属于正常偏高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 xml:space="preserve">参考范围 0~10 ng/ml → </w:t>
      </w:r>
      <w:r>
        <w:rPr>
          <w:rFonts w:ascii="微软雅黑" w:hAnsi="微软雅黑" w:eastAsia="微软雅黑"/>
          <w:b w:val="0"/>
          <w:color w:val="333333"/>
          <w:sz w:val="22"/>
        </w:rPr>
        <w:t>轻度升高，需结合临床情况综合判断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 xml:space="preserve">参考范围 0~25 ng/ml → </w:t>
      </w:r>
      <w:r>
        <w:rPr>
          <w:rFonts w:ascii="微软雅黑" w:hAnsi="微软雅黑" w:eastAsia="微软雅黑"/>
          <w:b w:val="0"/>
          <w:color w:val="333333"/>
          <w:sz w:val="22"/>
        </w:rPr>
        <w:t>完全在正常范围内</w:t>
      </w:r>
    </w:p>
    <w:p>
      <w:pPr>
        <w:spacing w:before="200" w:after="200"/>
        <w:ind w:left="170" w:right="170"/>
        <w:shd w:fill="FFF3CD" w:val="clear"/>
      </w:pPr>
      <w:r>
        <w:rPr>
          <w:rFonts w:ascii="微软雅黑" w:hAnsi="微软雅黑" w:eastAsia="微软雅黑"/>
          <w:b/>
          <w:color w:val="856404"/>
          <w:sz w:val="22"/>
        </w:rPr>
        <w:t>💡 关键提示：请以您检验报告单上标注的参考范围为准，不同医院、不同检测方法的参考值可能不同。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三、AFP 轻度升高的可能原因</w:t>
      </w:r>
    </w:p>
    <w:p>
      <w:pPr>
        <w:spacing w:before="120" w:after="1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AFP 轻度升高并不一定意味着严重疾病，以下为常见原因：</w:t>
      </w:r>
    </w:p>
    <w:p>
      <w:pPr>
        <w:pStyle w:val="ListNumber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慢性肝病：</w:t>
      </w:r>
      <w:r>
        <w:rPr>
          <w:rFonts w:ascii="微软雅黑" w:hAnsi="微软雅黑" w:eastAsia="微软雅黑"/>
          <w:b w:val="0"/>
          <w:color w:val="333333"/>
          <w:sz w:val="22"/>
        </w:rPr>
        <w:t>慢性肝炎、肝硬化患者 AFP 可轻度升高</w:t>
      </w:r>
    </w:p>
    <w:p>
      <w:pPr>
        <w:pStyle w:val="ListNumber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肝脏损伤修复：</w:t>
      </w:r>
      <w:r>
        <w:rPr>
          <w:rFonts w:ascii="微软雅黑" w:hAnsi="微软雅黑" w:eastAsia="微软雅黑"/>
          <w:b w:val="0"/>
          <w:color w:val="333333"/>
          <w:sz w:val="22"/>
        </w:rPr>
        <w:t>肝细胞再生修复时可出现一过性升高</w:t>
      </w:r>
    </w:p>
    <w:p>
      <w:pPr>
        <w:pStyle w:val="ListNumber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妊娠：</w:t>
      </w:r>
      <w:r>
        <w:rPr>
          <w:rFonts w:ascii="微软雅黑" w:hAnsi="微软雅黑" w:eastAsia="微软雅黑"/>
          <w:b w:val="0"/>
          <w:color w:val="333333"/>
          <w:sz w:val="22"/>
        </w:rPr>
        <w:t>孕妇 AFP 可生理性升高，属正常现象</w:t>
      </w:r>
    </w:p>
    <w:p>
      <w:pPr>
        <w:pStyle w:val="ListNumber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消化道疾病：</w:t>
      </w:r>
      <w:r>
        <w:rPr>
          <w:rFonts w:ascii="微软雅黑" w:hAnsi="微软雅黑" w:eastAsia="微软雅黑"/>
          <w:b w:val="0"/>
          <w:color w:val="333333"/>
          <w:sz w:val="22"/>
        </w:rPr>
        <w:t>部分胃肠道疾病可导致 AFP 轻度升高</w:t>
      </w:r>
    </w:p>
    <w:p>
      <w:pPr>
        <w:pStyle w:val="ListNumber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肝癌：</w:t>
      </w:r>
      <w:r>
        <w:rPr>
          <w:rFonts w:ascii="微软雅黑" w:hAnsi="微软雅黑" w:eastAsia="微软雅黑"/>
          <w:b w:val="0"/>
          <w:color w:val="333333"/>
          <w:sz w:val="22"/>
        </w:rPr>
        <w:t>通常 AFP 显著升高（&gt;400 ng/ml），但早期也可能仅轻度升高</w:t>
      </w:r>
    </w:p>
    <w:p>
      <w:pPr>
        <w:pStyle w:val="ListNumber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正常波动：</w:t>
      </w:r>
      <w:r>
        <w:rPr>
          <w:rFonts w:ascii="微软雅黑" w:hAnsi="微软雅黑" w:eastAsia="微软雅黑"/>
          <w:b w:val="0"/>
          <w:color w:val="333333"/>
          <w:sz w:val="22"/>
        </w:rPr>
        <w:t>健康人群 AFP 也可能偶尔出现轻微偏高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四、复查建议</w:t>
      </w:r>
    </w:p>
    <w:p>
      <w:pPr>
        <w:spacing w:before="200" w:after="12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（一）推荐复查科室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1F4E7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科室</w:t>
            </w:r>
          </w:p>
        </w:tc>
        <w:tc>
          <w:tcPr>
            <w:tcW w:type="dxa" w:w="1701"/>
            <w:shd w:fill="1F4E7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推荐等级</w:t>
            </w:r>
          </w:p>
        </w:tc>
        <w:tc>
          <w:tcPr>
            <w:tcW w:type="dxa" w:w="4252"/>
            <w:shd w:fill="1F4E7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适用情况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消化内科 / 肝病科</w:t>
            </w:r>
          </w:p>
        </w:tc>
        <w:tc>
          <w:tcPr>
            <w:tcW w:type="dxa" w:w="170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⭐ 首选推荐</w:t>
            </w:r>
          </w:p>
        </w:tc>
        <w:tc>
          <w:tcPr>
            <w:tcW w:type="dxa" w:w="42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AFP 主要与肝脏相关，首选此科室</w:t>
            </w:r>
          </w:p>
        </w:tc>
      </w:tr>
      <w:tr>
        <w:tc>
          <w:tcPr>
            <w:tcW w:type="dxa" w:w="2551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肿瘤内科</w:t>
            </w:r>
          </w:p>
        </w:tc>
        <w:tc>
          <w:tcPr>
            <w:tcW w:type="dxa" w:w="1701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推荐</w:t>
            </w:r>
          </w:p>
        </w:tc>
        <w:tc>
          <w:tcPr>
            <w:tcW w:type="dxa" w:w="4252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如果是肿瘤筛查或体检发现异常</w:t>
            </w:r>
          </w:p>
        </w:tc>
      </w:tr>
      <w:tr>
        <w:tc>
          <w:tcPr>
            <w:tcW w:type="dxa" w:w="255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普外科（肝胆外科）</w:t>
            </w:r>
          </w:p>
        </w:tc>
        <w:tc>
          <w:tcPr>
            <w:tcW w:type="dxa" w:w="170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推荐</w:t>
            </w:r>
          </w:p>
        </w:tc>
        <w:tc>
          <w:tcPr>
            <w:tcW w:type="dxa" w:w="425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如合并肝脏影像学异常</w:t>
            </w:r>
          </w:p>
        </w:tc>
      </w:tr>
      <w:tr>
        <w:tc>
          <w:tcPr>
            <w:tcW w:type="dxa" w:w="2551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体检中心</w:t>
            </w:r>
          </w:p>
        </w:tc>
        <w:tc>
          <w:tcPr>
            <w:tcW w:type="dxa" w:w="1701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可选</w:t>
            </w:r>
          </w:p>
        </w:tc>
        <w:tc>
          <w:tcPr>
            <w:tcW w:type="dxa" w:w="4252"/>
            <w:shd w:fill="EDF2F9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体检发现异常，可先回体检中心咨询</w:t>
            </w:r>
          </w:p>
        </w:tc>
      </w:tr>
    </w:tbl>
    <w:p>
      <w:pPr>
        <w:spacing w:before="320" w:after="120"/>
        <w:jc w:val="left"/>
      </w:pPr>
      <w:r>
        <w:rPr>
          <w:rFonts w:ascii="微软雅黑" w:hAnsi="微软雅黑" w:eastAsia="微软雅黑"/>
          <w:b/>
          <w:color w:val="1F4E79"/>
          <w:sz w:val="26"/>
        </w:rPr>
        <w:t>（二）复查时通常需要的检查项目</w:t>
      </w:r>
    </w:p>
    <w:p>
      <w:pPr>
        <w:pStyle w:val="ListNumber2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复查 AFP：</w:t>
      </w:r>
      <w:r>
        <w:rPr>
          <w:rFonts w:ascii="微软雅黑" w:hAnsi="微软雅黑" w:eastAsia="微软雅黑"/>
          <w:b w:val="0"/>
          <w:color w:val="333333"/>
          <w:sz w:val="22"/>
        </w:rPr>
        <w:t>动态观察 AFP 变化趋势（比单次值更重要）</w:t>
      </w:r>
    </w:p>
    <w:p>
      <w:pPr>
        <w:pStyle w:val="ListNumber2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肝功能检查：</w:t>
      </w:r>
      <w:r>
        <w:rPr>
          <w:rFonts w:ascii="微软雅黑" w:hAnsi="微软雅黑" w:eastAsia="微软雅黑"/>
          <w:b w:val="0"/>
          <w:color w:val="333333"/>
          <w:sz w:val="22"/>
        </w:rPr>
        <w:t>ALT、AST、胆红素等指标</w:t>
      </w:r>
    </w:p>
    <w:p>
      <w:pPr>
        <w:pStyle w:val="ListNumber2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乙肝/丙肝筛查：</w:t>
      </w:r>
      <w:r>
        <w:rPr>
          <w:rFonts w:ascii="微软雅黑" w:hAnsi="微软雅黑" w:eastAsia="微软雅黑"/>
          <w:b w:val="0"/>
          <w:color w:val="333333"/>
          <w:sz w:val="22"/>
        </w:rPr>
        <w:t>HBsAg、抗-HCV 等</w:t>
      </w:r>
    </w:p>
    <w:p>
      <w:pPr>
        <w:pStyle w:val="ListNumber2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肝脏超声：</w:t>
      </w:r>
      <w:r>
        <w:rPr>
          <w:rFonts w:ascii="微软雅黑" w:hAnsi="微软雅黑" w:eastAsia="微软雅黑"/>
          <w:b w:val="0"/>
          <w:color w:val="333333"/>
          <w:sz w:val="22"/>
        </w:rPr>
        <w:t>排除肝脏占位性病变</w:t>
      </w:r>
    </w:p>
    <w:p>
      <w:pPr>
        <w:pStyle w:val="ListNumber2"/>
        <w:spacing w:before="60" w:after="60"/>
      </w:pPr>
      <w:r>
        <w:rPr>
          <w:rFonts w:ascii="微软雅黑" w:hAnsi="微软雅黑" w:eastAsia="微软雅黑"/>
          <w:b/>
          <w:color w:val="333333"/>
          <w:sz w:val="22"/>
        </w:rPr>
        <w:t>肝脏增强 CT 或 MRI：</w:t>
      </w:r>
      <w:r>
        <w:rPr>
          <w:rFonts w:ascii="微软雅黑" w:hAnsi="微软雅黑" w:eastAsia="微软雅黑"/>
          <w:b w:val="0"/>
          <w:color w:val="333333"/>
          <w:sz w:val="22"/>
        </w:rPr>
        <w:t>必要时进一步检查，由医生根据情况决定</w:t>
      </w:r>
    </w:p>
    <w:p>
      <w:pPr>
        <w:pStyle w:val="Heading2"/>
      </w:pPr>
      <w:r>
        <w:rPr>
          <w:rFonts w:ascii="微软雅黑" w:hAnsi="微软雅黑" w:eastAsia="微软雅黑"/>
          <w:color w:val="1F4E79"/>
        </w:rPr>
        <w:t>五、总结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 w:val="0"/>
          <w:color w:val="333333"/>
          <w:sz w:val="22"/>
        </w:rPr>
        <w:t>18.99 ng/ml 这个值大概率在正常范围内或仅轻微偏高，不必过度紧张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 w:val="0"/>
          <w:color w:val="333333"/>
          <w:sz w:val="22"/>
        </w:rPr>
        <w:t>建议去消化内科/肝病科做进一步复查，特别是如果有慢性肝病病史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 w:val="0"/>
          <w:color w:val="333333"/>
          <w:sz w:val="22"/>
        </w:rPr>
        <w:t>动态观察比单次值更重要：如果持续升高或短期内明显升高，需要重视</w:t>
      </w:r>
    </w:p>
    <w:p>
      <w:pPr>
        <w:pStyle w:val="ListBullet"/>
        <w:spacing w:before="60" w:after="60"/>
      </w:pPr>
      <w:r>
        <w:rPr>
          <w:rFonts w:ascii="微软雅黑" w:hAnsi="微软雅黑" w:eastAsia="微软雅黑"/>
          <w:b w:val="0"/>
          <w:color w:val="333333"/>
          <w:sz w:val="22"/>
        </w:rPr>
        <w:t>如果是常规体检发现，可先回体检中心咨询，医生会根据完整体检结果综合判断</w:t>
      </w:r>
    </w:p>
    <w:p/>
    <w:p>
      <w:pPr>
        <w:spacing w:before="200" w:after="200"/>
        <w:ind w:left="170" w:right="170"/>
        <w:shd w:fill="F8D7DA" w:val="clear"/>
      </w:pPr>
      <w:r>
        <w:rPr>
          <w:rFonts w:ascii="微软雅黑" w:hAnsi="微软雅黑" w:eastAsia="微软雅黑"/>
          <w:b/>
          <w:color w:val="842029"/>
          <w:sz w:val="22"/>
        </w:rPr>
        <w:t>⚠ 免责声明：本报告由 AI 辅助生成，所有内容仅供健康参考，不构成任何医学诊断或治疗建议。每个人的健康状况不同，具体诊断和治疗方案请务必咨询专业医疗机构和医生。</w:t>
      </w:r>
    </w:p>
    <w:p>
      <w:pPr>
        <w:spacing w:before="320"/>
        <w:jc w:val="right"/>
      </w:pPr>
      <w:r>
        <w:rPr>
          <w:rFonts w:ascii="微软雅黑" w:hAnsi="微软雅黑" w:eastAsia="微软雅黑"/>
          <w:b w:val="0"/>
          <w:color w:val="999999"/>
          <w:sz w:val="20"/>
        </w:rPr>
        <w:t>报告生成日期：2026年04月07日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