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A1F244" w14:textId="176A9BE4" w:rsidR="002064FD" w:rsidRDefault="00F90204" w:rsidP="002064FD">
      <w:pPr>
        <w:pStyle w:val="Heading1"/>
      </w:pPr>
      <w:bookmarkStart w:id="0" w:name="_Hlk181214358"/>
      <w:r>
        <w:t xml:space="preserve">Archétypes </w:t>
      </w:r>
      <w:r w:rsidR="00362867">
        <w:t>des établissement résidentielles</w:t>
      </w:r>
    </w:p>
    <w:p w14:paraId="365BEF59" w14:textId="23A20B29" w:rsidR="008C7576" w:rsidRDefault="002064FD" w:rsidP="008C7576">
      <w:pPr>
        <w:pStyle w:val="Heading2"/>
      </w:pPr>
      <w:r>
        <w:t>Choix des archétypes</w:t>
      </w:r>
    </w:p>
    <w:p w14:paraId="3A135F8A" w14:textId="5B2CB2AF" w:rsidR="00295FDA" w:rsidRPr="00295FDA" w:rsidRDefault="00295FDA" w:rsidP="00295FDA">
      <w:pPr>
        <w:pStyle w:val="Heading3"/>
      </w:pPr>
      <w:r>
        <w:t>Archétype de base</w:t>
      </w:r>
    </w:p>
    <w:p w14:paraId="6D7447F9" w14:textId="107AFF68" w:rsidR="0084316B" w:rsidRPr="0084316B" w:rsidRDefault="0084316B" w:rsidP="00295FDA">
      <w:pPr>
        <w:spacing w:line="480" w:lineRule="auto"/>
        <w:jc w:val="both"/>
        <w:rPr>
          <w:b/>
          <w:bCs/>
        </w:rPr>
      </w:pPr>
      <w:r w:rsidRPr="0084316B">
        <w:t>Les archétypes de constructions résidentielles sont définis à partir de la classification officielle de statistique Canada</w:t>
      </w:r>
      <w:r>
        <w:t xml:space="preserve"> (source privilégiée). Le </w:t>
      </w:r>
      <w:r w:rsidR="00295FDA">
        <w:t>recensement</w:t>
      </w:r>
      <w:r>
        <w:t xml:space="preserve"> de 2021 donne le total de chaque catégorie par province et par MRC.</w:t>
      </w:r>
      <w:r w:rsidRPr="0084316B">
        <w:t xml:space="preserve"> Il existe 9 catégories (codes) total, dont les plus importants sont</w:t>
      </w:r>
      <w:r>
        <w:t> :</w:t>
      </w:r>
      <w:r w:rsidRPr="0084316B">
        <w:t xml:space="preserve"> la maison individuelle non attenante (code 1), les maisons jumelée (code 2), les maisons en rangée (code 3), les appartements ou plain-pied dans un duplex (code 4), les appartements dans un immeuble à cinq étages ou plus (code 5), les appartements</w:t>
      </w:r>
      <w:r w:rsidRPr="0084316B">
        <w:t xml:space="preserve"> dans un </w:t>
      </w:r>
      <w:r w:rsidRPr="0084316B">
        <w:t>immeubles</w:t>
      </w:r>
      <w:r w:rsidRPr="0084316B">
        <w:t xml:space="preserve"> de moins de cinq étages (Code 6)</w:t>
      </w:r>
      <w:r w:rsidRPr="0084316B">
        <w:t>. Leur importance relative est illustrée ci-dessous:</w:t>
      </w:r>
    </w:p>
    <w:p w14:paraId="679162E9" w14:textId="7463AAD2" w:rsidR="0084316B" w:rsidRDefault="0084316B" w:rsidP="00295FDA">
      <w:pPr>
        <w:spacing w:line="480" w:lineRule="auto"/>
        <w:jc w:val="center"/>
      </w:pPr>
      <w:r>
        <w:rPr>
          <w:noProof/>
        </w:rPr>
        <w:drawing>
          <wp:inline distT="0" distB="0" distL="0" distR="0" wp14:anchorId="2E9D3EEA" wp14:editId="2633FC4D">
            <wp:extent cx="4943475" cy="2247225"/>
            <wp:effectExtent l="0" t="0" r="0" b="1270"/>
            <wp:docPr id="120078958" name="Picture 2" descr="A pie chart with different colored circl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422177" name="Picture 2" descr="A pie chart with different colored circles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341"/>
                    <a:stretch/>
                  </pic:blipFill>
                  <pic:spPr bwMode="auto">
                    <a:xfrm>
                      <a:off x="0" y="0"/>
                      <a:ext cx="5015393" cy="2279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5AA775" w14:textId="6295D80C" w:rsidR="0084316B" w:rsidRDefault="00A85CB5" w:rsidP="00295FDA">
      <w:pPr>
        <w:spacing w:line="480" w:lineRule="auto"/>
        <w:jc w:val="both"/>
      </w:pPr>
      <w:r>
        <w:t xml:space="preserve">À des fins de réduction de calculs, </w:t>
      </w:r>
      <w:r>
        <w:t xml:space="preserve">plusieurs groupes de constructions relativement similaire ont été assemblés. Les deux catégories qui dominent la distribution des bâtiments résidentielles au Québec, les maisons individuelles non attenante (45.1%) et les appartements dans un immeuble à moins de 5 étages (33.5%) ont été gardés comme catégories principales. Tous </w:t>
      </w:r>
      <w:r w:rsidR="00295FDA">
        <w:t xml:space="preserve">les appartements ont été groupés et une nouvelle catégorie, les maisons individuelles attenantes (comportée des maisons en </w:t>
      </w:r>
      <w:r w:rsidR="00295FDA">
        <w:lastRenderedPageBreak/>
        <w:t xml:space="preserve">rangées et les maisons jumelées), a été créé. Les nouvelles catégories et leur importance relative est illustrée ci-dessous. </w:t>
      </w:r>
    </w:p>
    <w:p w14:paraId="15E09135" w14:textId="0A42B1FE" w:rsidR="00295FDA" w:rsidRDefault="0084316B" w:rsidP="00693118">
      <w:pPr>
        <w:spacing w:line="480" w:lineRule="auto"/>
        <w:jc w:val="center"/>
      </w:pPr>
      <w:r>
        <w:rPr>
          <w:noProof/>
        </w:rPr>
        <w:drawing>
          <wp:inline distT="0" distB="0" distL="0" distR="0" wp14:anchorId="62F40491" wp14:editId="77DFF30E">
            <wp:extent cx="3038475" cy="1870826"/>
            <wp:effectExtent l="0" t="0" r="0" b="0"/>
            <wp:docPr id="330604135" name="Picture 3" descr="A pie chart with text on it with Crust in th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604135" name="Picture 3" descr="A pie chart with text on it with Crust in the background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116" b="9579"/>
                    <a:stretch/>
                  </pic:blipFill>
                  <pic:spPr bwMode="auto">
                    <a:xfrm>
                      <a:off x="0" y="0"/>
                      <a:ext cx="3136376" cy="1931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20199C" w14:textId="34E135F5" w:rsidR="00295FDA" w:rsidRDefault="00295FDA" w:rsidP="00295FDA">
      <w:pPr>
        <w:pStyle w:val="Heading3"/>
      </w:pPr>
      <w:r>
        <w:t xml:space="preserve">Première </w:t>
      </w:r>
      <w:r w:rsidR="00693118">
        <w:t>sous-archétype</w:t>
      </w:r>
      <w:r>
        <w:t> : la période de construction</w:t>
      </w:r>
    </w:p>
    <w:p w14:paraId="622B89AD" w14:textId="5592A109" w:rsidR="00693118" w:rsidRDefault="00693118" w:rsidP="00693118">
      <w:pPr>
        <w:spacing w:line="480" w:lineRule="auto"/>
        <w:jc w:val="both"/>
      </w:pPr>
      <w:r>
        <w:t xml:space="preserve">Les archétypes de bases sont constitués de plusieurs sous archétypes. Par exemple, la période de construction d’un bâtiment a un grand effet sur ses caractéristiques thermiques, dépendamment du code de construction en place et les matériaux disponibles. </w:t>
      </w:r>
    </w:p>
    <w:p w14:paraId="1A085C83" w14:textId="5D63D24A" w:rsidR="00693118" w:rsidRDefault="00693118" w:rsidP="00693118">
      <w:pPr>
        <w:spacing w:line="480" w:lineRule="auto"/>
        <w:jc w:val="both"/>
      </w:pPr>
      <w:r>
        <w:t xml:space="preserve">Généralement les bâtiments contemporains sont conformes au Code du Bâtiment de leur époque. Le code du Québec a toujours des valeurs minimales de conformités pour plusieurs paramètres thermiques qui servent de références globales à nos archétypes (méthode des solutions de remplacements). Il est aussi important de noter que ces résistances différentes dépendamment du degré-jours de la région de construction. </w:t>
      </w:r>
    </w:p>
    <w:p w14:paraId="4031545B" w14:textId="152ACA9F" w:rsidR="00627E21" w:rsidRPr="00693118" w:rsidRDefault="00627E21" w:rsidP="00627E21">
      <w:pPr>
        <w:spacing w:line="480" w:lineRule="auto"/>
        <w:jc w:val="center"/>
      </w:pPr>
      <w:r>
        <w:rPr>
          <w:noProof/>
        </w:rPr>
        <w:drawing>
          <wp:inline distT="0" distB="0" distL="0" distR="0" wp14:anchorId="76441B20" wp14:editId="2DD785E2">
            <wp:extent cx="3457575" cy="1982180"/>
            <wp:effectExtent l="0" t="0" r="0" b="0"/>
            <wp:docPr id="914417019" name="Picture 4" descr="A group of blue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417019" name="Picture 4" descr="A group of blue bars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861" r="47711"/>
                    <a:stretch/>
                  </pic:blipFill>
                  <pic:spPr bwMode="auto">
                    <a:xfrm>
                      <a:off x="0" y="0"/>
                      <a:ext cx="3479582" cy="1994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96A40C" w14:textId="4153A3D8" w:rsidR="00295FDA" w:rsidRDefault="00295FDA" w:rsidP="00295FDA">
      <w:pPr>
        <w:pStyle w:val="Heading3"/>
      </w:pPr>
      <w:r>
        <w:lastRenderedPageBreak/>
        <w:t>Deuxième</w:t>
      </w:r>
      <w:r>
        <w:t xml:space="preserve"> subdivision : </w:t>
      </w:r>
      <w:r w:rsidR="00693118">
        <w:t>le système de climatisation</w:t>
      </w:r>
    </w:p>
    <w:p w14:paraId="5BAEB334" w14:textId="77777777" w:rsidR="00295FDA" w:rsidRPr="00295FDA" w:rsidRDefault="00295FDA" w:rsidP="00295FDA"/>
    <w:p w14:paraId="4B49A6D3" w14:textId="7F7F825C" w:rsidR="002064FD" w:rsidRDefault="002064FD" w:rsidP="002064FD">
      <w:pPr>
        <w:pStyle w:val="Heading2"/>
      </w:pPr>
      <w:r>
        <w:t>Distribution des archétypes</w:t>
      </w:r>
    </w:p>
    <w:p w14:paraId="63BD4ECD" w14:textId="7C7443F4" w:rsidR="00627E21" w:rsidRPr="00627E21" w:rsidRDefault="00627E21" w:rsidP="00AC30FE">
      <w:pPr>
        <w:spacing w:line="480" w:lineRule="auto"/>
        <w:jc w:val="both"/>
      </w:pPr>
      <w:r>
        <w:t xml:space="preserve">Comme mentionné dans la section archétype de base, les catégories globales </w:t>
      </w:r>
      <w:r w:rsidR="00854B72">
        <w:t xml:space="preserve">(Appartement, Maison unifamiliale, et maison individuelles attenantes) sont bien quantifiées par MRC. Par exemple la distribution des </w:t>
      </w:r>
      <w:r w:rsidR="006051CF">
        <w:t>maisons unifamiliales</w:t>
      </w:r>
      <w:r w:rsidR="00854B72">
        <w:t xml:space="preserve"> dans chaque MRC</w:t>
      </w:r>
      <w:r w:rsidR="00AC30FE">
        <w:t xml:space="preserve"> du Québec</w:t>
      </w:r>
      <w:r w:rsidR="00854B72">
        <w:t xml:space="preserve"> : </w:t>
      </w:r>
    </w:p>
    <w:p w14:paraId="6E6EB2E4" w14:textId="411F3521" w:rsidR="002064FD" w:rsidRDefault="00AC30FE" w:rsidP="00AC30FE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2D4B79B" wp14:editId="6C763643">
            <wp:extent cx="2295525" cy="3090140"/>
            <wp:effectExtent l="0" t="0" r="0" b="0"/>
            <wp:docPr id="479249662" name="Picture 5" descr="A map of canada with red area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249662" name="Picture 5" descr="A map of canada with red area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7114" cy="3132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F92F18" w14:textId="127C9CDC" w:rsidR="00AC30FE" w:rsidRDefault="00AC30FE" w:rsidP="00AC30FE">
      <w:pPr>
        <w:spacing w:line="480" w:lineRule="auto"/>
        <w:jc w:val="both"/>
      </w:pPr>
      <w:r w:rsidRPr="00AC30FE">
        <w:t xml:space="preserve">Cependant, pour les sous-archétypes, les données sur la distribution par MRC ne sont pas disponibles. </w:t>
      </w:r>
      <w:r>
        <w:t>Une hypothèse d’homogénéité a donc été mise en place : le ratio de chaque sous-archétype dans chaque MRC est proportionnel au ratio global :</w:t>
      </w:r>
    </w:p>
    <w:p w14:paraId="5E6AED5D" w14:textId="3A424241" w:rsidR="00FE3469" w:rsidRPr="00FE3469" w:rsidRDefault="00FE3469" w:rsidP="00AC30FE">
      <w:pPr>
        <w:spacing w:line="480" w:lineRule="auto"/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SousArchetypes/MRC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Archetypes</m:t>
              </m:r>
              <m:r>
                <w:rPr>
                  <w:rFonts w:ascii="Cambria Math" w:hAnsi="Cambria Math"/>
                </w:rPr>
                <m:t>Base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Climatisation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Construction</m:t>
              </m:r>
            </m:sub>
          </m:sSub>
        </m:oMath>
      </m:oMathPara>
    </w:p>
    <w:p w14:paraId="6C41B7E1" w14:textId="77777777" w:rsidR="00FE3469" w:rsidRPr="00FE3469" w:rsidRDefault="00FE3469" w:rsidP="00AC30FE">
      <w:pPr>
        <w:spacing w:line="480" w:lineRule="auto"/>
        <w:jc w:val="both"/>
      </w:pPr>
    </w:p>
    <w:bookmarkEnd w:id="0"/>
    <w:p w14:paraId="45E0DFE8" w14:textId="77777777" w:rsidR="00FE3469" w:rsidRPr="00FE3469" w:rsidRDefault="00FE3469" w:rsidP="00AC30FE">
      <w:pPr>
        <w:spacing w:line="480" w:lineRule="auto"/>
        <w:jc w:val="both"/>
      </w:pPr>
    </w:p>
    <w:p w14:paraId="2A458826" w14:textId="77777777" w:rsidR="00AC30FE" w:rsidRPr="00AC30FE" w:rsidRDefault="00AC30FE" w:rsidP="00AC30FE">
      <w:pPr>
        <w:spacing w:line="480" w:lineRule="auto"/>
        <w:jc w:val="both"/>
      </w:pPr>
    </w:p>
    <w:p w14:paraId="19D0709B" w14:textId="2307A90E" w:rsidR="002064FD" w:rsidRPr="00F90204" w:rsidRDefault="002064FD" w:rsidP="002156A0">
      <w:pPr>
        <w:jc w:val="center"/>
      </w:pPr>
    </w:p>
    <w:sectPr w:rsidR="002064FD" w:rsidRPr="00F902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204"/>
    <w:rsid w:val="002064FD"/>
    <w:rsid w:val="002156A0"/>
    <w:rsid w:val="00295FDA"/>
    <w:rsid w:val="00362867"/>
    <w:rsid w:val="003969BA"/>
    <w:rsid w:val="006051CF"/>
    <w:rsid w:val="00627E21"/>
    <w:rsid w:val="00693118"/>
    <w:rsid w:val="0084316B"/>
    <w:rsid w:val="00854B72"/>
    <w:rsid w:val="008C7576"/>
    <w:rsid w:val="00A80275"/>
    <w:rsid w:val="00A85CB5"/>
    <w:rsid w:val="00AC30FE"/>
    <w:rsid w:val="00B47C81"/>
    <w:rsid w:val="00B7140D"/>
    <w:rsid w:val="00BA1949"/>
    <w:rsid w:val="00BB3430"/>
    <w:rsid w:val="00EC3023"/>
    <w:rsid w:val="00F90204"/>
    <w:rsid w:val="00FE3469"/>
    <w:rsid w:val="00FF0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A960A"/>
  <w15:chartTrackingRefBased/>
  <w15:docId w15:val="{446EA8DC-962B-4E3E-B617-ABBC46CFA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902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02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02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02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02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02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02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02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02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0204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fr-CA"/>
    </w:rPr>
  </w:style>
  <w:style w:type="character" w:customStyle="1" w:styleId="Heading2Char">
    <w:name w:val="Heading 2 Char"/>
    <w:basedOn w:val="DefaultParagraphFont"/>
    <w:link w:val="Heading2"/>
    <w:uiPriority w:val="9"/>
    <w:rsid w:val="00F90204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fr-CA"/>
    </w:rPr>
  </w:style>
  <w:style w:type="character" w:customStyle="1" w:styleId="Heading3Char">
    <w:name w:val="Heading 3 Char"/>
    <w:basedOn w:val="DefaultParagraphFont"/>
    <w:link w:val="Heading3"/>
    <w:uiPriority w:val="9"/>
    <w:rsid w:val="00F90204"/>
    <w:rPr>
      <w:rFonts w:eastAsiaTheme="majorEastAsia" w:cstheme="majorBidi"/>
      <w:color w:val="0F4761" w:themeColor="accent1" w:themeShade="BF"/>
      <w:sz w:val="28"/>
      <w:szCs w:val="28"/>
      <w:lang w:val="fr-C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0204"/>
    <w:rPr>
      <w:rFonts w:eastAsiaTheme="majorEastAsia" w:cstheme="majorBidi"/>
      <w:i/>
      <w:iCs/>
      <w:color w:val="0F4761" w:themeColor="accent1" w:themeShade="BF"/>
      <w:lang w:val="fr-C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0204"/>
    <w:rPr>
      <w:rFonts w:eastAsiaTheme="majorEastAsia" w:cstheme="majorBidi"/>
      <w:color w:val="0F4761" w:themeColor="accent1" w:themeShade="BF"/>
      <w:lang w:val="fr-C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0204"/>
    <w:rPr>
      <w:rFonts w:eastAsiaTheme="majorEastAsia" w:cstheme="majorBidi"/>
      <w:i/>
      <w:iCs/>
      <w:color w:val="595959" w:themeColor="text1" w:themeTint="A6"/>
      <w:lang w:val="fr-C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0204"/>
    <w:rPr>
      <w:rFonts w:eastAsiaTheme="majorEastAsia" w:cstheme="majorBidi"/>
      <w:color w:val="595959" w:themeColor="text1" w:themeTint="A6"/>
      <w:lang w:val="fr-C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0204"/>
    <w:rPr>
      <w:rFonts w:eastAsiaTheme="majorEastAsia" w:cstheme="majorBidi"/>
      <w:i/>
      <w:iCs/>
      <w:color w:val="272727" w:themeColor="text1" w:themeTint="D8"/>
      <w:lang w:val="fr-C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0204"/>
    <w:rPr>
      <w:rFonts w:eastAsiaTheme="majorEastAsia" w:cstheme="majorBidi"/>
      <w:color w:val="272727" w:themeColor="text1" w:themeTint="D8"/>
      <w:lang w:val="fr-CA"/>
    </w:rPr>
  </w:style>
  <w:style w:type="paragraph" w:styleId="Title">
    <w:name w:val="Title"/>
    <w:basedOn w:val="Normal"/>
    <w:next w:val="Normal"/>
    <w:link w:val="TitleChar"/>
    <w:uiPriority w:val="10"/>
    <w:qFormat/>
    <w:rsid w:val="00F902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0204"/>
    <w:rPr>
      <w:rFonts w:asciiTheme="majorHAnsi" w:eastAsiaTheme="majorEastAsia" w:hAnsiTheme="majorHAnsi" w:cstheme="majorBidi"/>
      <w:spacing w:val="-10"/>
      <w:kern w:val="28"/>
      <w:sz w:val="56"/>
      <w:szCs w:val="56"/>
      <w:lang w:val="fr-C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02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0204"/>
    <w:rPr>
      <w:rFonts w:eastAsiaTheme="majorEastAsia" w:cstheme="majorBidi"/>
      <w:color w:val="595959" w:themeColor="text1" w:themeTint="A6"/>
      <w:spacing w:val="15"/>
      <w:sz w:val="28"/>
      <w:szCs w:val="28"/>
      <w:lang w:val="fr-CA"/>
    </w:rPr>
  </w:style>
  <w:style w:type="paragraph" w:styleId="Quote">
    <w:name w:val="Quote"/>
    <w:basedOn w:val="Normal"/>
    <w:next w:val="Normal"/>
    <w:link w:val="QuoteChar"/>
    <w:uiPriority w:val="29"/>
    <w:qFormat/>
    <w:rsid w:val="00F902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0204"/>
    <w:rPr>
      <w:i/>
      <w:iCs/>
      <w:color w:val="404040" w:themeColor="text1" w:themeTint="BF"/>
      <w:lang w:val="fr-CA"/>
    </w:rPr>
  </w:style>
  <w:style w:type="paragraph" w:styleId="ListParagraph">
    <w:name w:val="List Paragraph"/>
    <w:basedOn w:val="Normal"/>
    <w:uiPriority w:val="34"/>
    <w:qFormat/>
    <w:rsid w:val="00F902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02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02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0204"/>
    <w:rPr>
      <w:i/>
      <w:iCs/>
      <w:color w:val="0F4761" w:themeColor="accent1" w:themeShade="BF"/>
      <w:lang w:val="fr-CA"/>
    </w:rPr>
  </w:style>
  <w:style w:type="character" w:styleId="IntenseReference">
    <w:name w:val="Intense Reference"/>
    <w:basedOn w:val="DefaultParagraphFont"/>
    <w:uiPriority w:val="32"/>
    <w:qFormat/>
    <w:rsid w:val="00F9020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064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E3469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85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1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6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7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8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1324</TotalTime>
  <Pages>4</Pages>
  <Words>417</Words>
  <Characters>2380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Xue</dc:creator>
  <cp:keywords/>
  <dc:description/>
  <cp:lastModifiedBy>Bill Xue</cp:lastModifiedBy>
  <cp:revision>2</cp:revision>
  <dcterms:created xsi:type="dcterms:W3CDTF">2024-10-30T16:40:00Z</dcterms:created>
  <dcterms:modified xsi:type="dcterms:W3CDTF">2024-10-31T22:15:00Z</dcterms:modified>
</cp:coreProperties>
</file>