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May 17, 2024</w:t>
      </w:r>
    </w:p>
    <w:p>
      <w:pPr>
        <w:pStyle w:val="Heading2"/>
      </w:pPr>
      <w:r>
        <w:t>Query info</w:t>
      </w:r>
    </w:p>
    <w:p>
      <w:r>
        <w:t>The following query is run for each of the column specifications listed below:</w:t>
      </w:r>
    </w:p>
    <w:p>
      <w:r>
        <w:rPr>
          <w:i/>
        </w:rPr>
        <w:t>Extract any quote that addresses “{variable_name}” which we define as “{variable_description}”. Only include direct quotations with the corresponding page number(s).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SDG 1</w:t>
            </w:r>
          </w:p>
        </w:tc>
        <w:tc>
          <w:tcPr>
            <w:tcW w:type="dxa" w:w="2880"/>
          </w:tcPr>
          <w:p>
            <w:r>
              <w:t>End poverty in all its forms everywhere.</w:t>
            </w:r>
          </w:p>
        </w:tc>
        <w:tc>
          <w:tcPr>
            <w:tcW w:type="dxa" w:w="2880"/>
          </w:tcPr>
          <w:p/>
        </w:tc>
      </w:tr>
      <w:tr>
        <w:tc>
          <w:tcPr>
            <w:tcW w:type="dxa" w:w="2880"/>
          </w:tcPr>
          <w:p>
            <w:r>
              <w:t>SDG 2</w:t>
            </w:r>
          </w:p>
        </w:tc>
        <w:tc>
          <w:tcPr>
            <w:tcW w:type="dxa" w:w="2880"/>
          </w:tcPr>
          <w:p>
            <w:r>
              <w:t>End hunger, achieve food security and improved nutrition and promote sustainable agriculture.</w:t>
            </w:r>
          </w:p>
        </w:tc>
        <w:tc>
          <w:tcPr>
            <w:tcW w:type="dxa" w:w="2880"/>
          </w:tcPr>
          <w:p/>
        </w:tc>
      </w:tr>
    </w:tbl>
    <w:p>
      <w:pPr>
        <w:pStyle w:val="Heading2"/>
      </w:pPr>
      <w:r>
        <w:t>Canada_Canada's Enhanced NDC Submission1_FINAL EN.pdf</w:t>
      </w:r>
    </w:p>
    <w:tbl>
      <w:tblPr>
        <w:tblW w:type="auto" w:w="0"/>
        <w:tblLook w:firstColumn="1" w:firstRow="1" w:lastColumn="0" w:lastRow="0" w:noHBand="0" w:noVBand="1" w:val="04A0"/>
      </w:tblPr>
      <w:tblGrid>
        <w:gridCol w:w="4320"/>
        <w:gridCol w:w="4320"/>
      </w:tblGrid>
      <w:tr>
        <w:tc>
          <w:tcPr>
            <w:tcW w:type="dxa" w:w="4320"/>
          </w:tcPr>
          <w:p>
            <w:r>
              <w:rPr>
                <w:b/>
              </w:rPr>
              <w:t>Variable Name</w:t>
            </w:r>
          </w:p>
        </w:tc>
        <w:tc>
          <w:tcPr>
            <w:tcW w:type="dxa" w:w="4320"/>
          </w:tcPr>
          <w:p>
            <w:r>
              <w:rPr>
                <w:b/>
              </w:rPr>
              <w:t>GPT Response</w:t>
            </w:r>
          </w:p>
        </w:tc>
      </w:tr>
      <w:tr>
        <w:tc>
          <w:tcPr>
            <w:tcW w:type="dxa" w:w="4320"/>
          </w:tcPr>
          <w:p>
            <w:r>
              <w:t>SDG 1</w:t>
            </w:r>
          </w:p>
        </w:tc>
        <w:tc>
          <w:tcPr>
            <w:tcW w:type="dxa" w:w="4320"/>
          </w:tcPr>
          <w:p>
            <w:r>
              <w:t>1. "The Government will conduct additional GBA+ analyses for each policy and program to maximize positive benefits for those most impacted by the negative effects of climate change, including low-income Canadians, women, Indigenous communities, and people living in rural and remote areas." [page 10]</w:t>
              <w:br/>
              <w:br/>
              <w:t>2. "Principles of a fair recovery will be built into policy planning, similar to what was done to promote social equity in the transition away from coal-fired electricity following the recommendations of the Just Transition Task Force for Coal Power Workers and Communities." [page 22]</w:t>
              <w:br/>
              <w:br/>
              <w:t>3. "JUST TRANSITION Addressing climate change requires the participation of all Canadians, as well as inclusive measures that mitigate the impacts of climate change on underrepresented and marginalized groups. Canada is committed to supporting workers and their communities as the world moves toward a low-carbon, net-zero future. At its core, the work on just transition is underpinned by a firm belief that Canada cannot reach net-zero without the participation, know-how and innovative ideas of all Canadians. People and communities must be at the heart of climate action to ensure that all Canadians are empowered to benefit from the green transformation and that no one is left behind." [page 9]</w:t>
            </w:r>
          </w:p>
        </w:tc>
      </w:tr>
      <w:tr>
        <w:tc>
          <w:tcPr>
            <w:tcW w:type="dxa" w:w="4320"/>
          </w:tcPr>
          <w:p>
            <w:r>
              <w:t>SDG 2</w:t>
            </w:r>
          </w:p>
        </w:tc>
        <w:tc>
          <w:tcPr>
            <w:tcW w:type="dxa" w:w="4320"/>
          </w:tcPr>
          <w:p>
            <w:r>
              <w:t>1. "Further reduce emissions in the agricultural sector by investing $165.7 million to support clean technologies in the agriculture sector, supporting on-farm climate action (e.g., improve nitrogen management, increase adoption of cover cropping) through increased investments in agricultural climate solutions, and setting a national emissions reduction target for emissions from fertilizers of 30% below 2020 levels by 2030." [page 5]</w:t>
              <w:br/>
              <w:br/>
              <w:t>2. "Provide climate action programs for farmers, including the $185 million Agricultural Climate Solutions Program and the $165 million Agricultural Clean Technology Program with an additional $200 million to launch immediate, on-farm climate action, targeting projects that accelerate emission reductions by improving nitrogen management, increasing adoption of cover cropping, and normalizing rotational grazing." [page 6]</w:t>
            </w:r>
          </w:p>
        </w:tc>
      </w:tr>
      <w:tr>
        <w:tc>
          <w:tcPr>
            <w:tcW w:type="dxa" w:w="4320"/>
          </w:tcPr>
          <w:p/>
        </w:tc>
        <w:tc>
          <w:tcPr>
            <w:tcW w:type="dxa" w:w="4320"/>
          </w:tcPr>
          <w:p/>
        </w:tc>
      </w:tr>
    </w:tbl>
    <w:p>
      <w:pPr>
        <w:pStyle w:val="Heading4"/>
      </w:pPr>
      <w:r>
        <w:t>1 documents (42 total pages) processed in 21.37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DF01809-AC16-463E-B8EF-17E4FEE0CDB2}"/>
</file>

<file path=customXml/itemProps3.xml><?xml version="1.0" encoding="utf-8"?>
<ds:datastoreItem xmlns:ds="http://schemas.openxmlformats.org/officeDocument/2006/customXml" ds:itemID="{41884E07-5BA2-4173-8F36-5D1B11F26D90}"/>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