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November 06,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 which we define as “{variable_description}”.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SDG 2</w:t>
            </w:r>
          </w:p>
        </w:tc>
        <w:tc>
          <w:tcPr>
            <w:tcW w:type="dxa" w:w="2880"/>
          </w:tcPr>
          <w:p>
            <w:r>
              <w:t>End hunger, achieve food security and improved nutrition and promote sustainable agriculture.</w:t>
            </w:r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ETH-008-lt-leds-2023.pdf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Summary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• "Addressing gender and social inclusion considerations during the implementation of the measures envisaged under the LT-LEDS will be critical to maximize co-benefits of the strategy and ensure that the strategy contributes to the country’s national and international commitments on gender equality, including the achievement of the SDGs (SDG 1 on poverty eradication and SDG 5 on gender equality) and the empowerment of youth and women." [page 88]</w:t>
            </w:r>
          </w:p>
        </w:tc>
      </w:tr>
      <w:tr>
        <w:tc>
          <w:tcPr>
            <w:tcW w:type="dxa" w:w="4320"/>
          </w:tcPr>
          <w:p>
            <w:r>
              <w:t>SDG 2</w:t>
            </w:r>
          </w:p>
        </w:tc>
        <w:tc>
          <w:tcPr>
            <w:tcW w:type="dxa" w:w="4320"/>
          </w:tcPr>
          <w:p>
            <w:r>
              <w:t>The provided text does not contain any direct quotations specifically addressing "SDG 2" as defined as "End hunger, achieve food security and improved nutrition and promote sustainable agriculture."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(108 total pages) processed in 180.08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27B0C-9B8C-4A31-A226-18C00964196D}"/>
</file>

<file path=customXml/itemProps3.xml><?xml version="1.0" encoding="utf-8"?>
<ds:datastoreItem xmlns:ds="http://schemas.openxmlformats.org/officeDocument/2006/customXml" ds:itemID="{232E77FB-D9F2-46A8-B070-3E8557DBFC5E}"/>
</file>

<file path=customXml/itemProps4.xml><?xml version="1.0" encoding="utf-8"?>
<ds:datastoreItem xmlns:ds="http://schemas.openxmlformats.org/officeDocument/2006/customXml" ds:itemID="{40166F34-8BC2-4421-B18D-B184436CF3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