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October 30, 2024</w:t>
      </w:r>
    </w:p>
    <w:p>
      <w:pPr>
        <w:pStyle w:val="Heading2"/>
      </w:pPr>
      <w:r>
        <w:t>Query info</w:t>
      </w:r>
    </w:p>
    <w:p>
      <w:r>
        <w:t>The following query is run for each of the column specifications listed below:</w:t>
      </w:r>
    </w:p>
    <w:p>
      <w:r>
        <w:rPr>
          <w:i/>
        </w:rPr>
        <w:t>Extract any quote that addresses “{variable_name}”.</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jobs</w:t>
            </w:r>
          </w:p>
        </w:tc>
        <w:tc>
          <w:tcPr>
            <w:tcW w:type="dxa" w:w="2880"/>
          </w:tcPr>
          <w:p>
            <w:r/>
          </w:p>
        </w:tc>
        <w:tc>
          <w:tcPr>
            <w:tcW w:type="dxa" w:w="2880"/>
          </w:tcPr>
          <w:p/>
        </w:tc>
      </w:tr>
    </w:tbl>
    <w:p>
      <w:pPr>
        <w:pStyle w:val="Heading2"/>
      </w:pPr>
      <w:r>
        <w:t>National Energy Policy_2022_2040.pdf</w:t>
      </w:r>
    </w:p>
    <w:tbl>
      <w:tblPr>
        <w:tblW w:type="auto" w:w="0"/>
        <w:tblLook w:firstColumn="1" w:firstRow="1" w:lastColumn="0" w:lastRow="0" w:noHBand="0" w:noVBand="1" w:val="04A0"/>
      </w:tblPr>
      <w:tblGrid>
        <w:gridCol w:w="4320"/>
        <w:gridCol w:w="4320"/>
      </w:tblGrid>
      <w:tr>
        <w:tc>
          <w:tcPr>
            <w:tcW w:type="dxa" w:w="4320"/>
          </w:tcPr>
          <w:p>
            <w:r>
              <w:rPr>
                <w:b/>
              </w:rPr>
              <w:t>Quote</w:t>
            </w:r>
          </w:p>
        </w:tc>
        <w:tc>
          <w:tcPr>
            <w:tcW w:type="dxa" w:w="4320"/>
          </w:tcPr>
          <w:p>
            <w:r>
              <w:rPr>
                <w:b/>
              </w:rPr>
              <w:t>Relevant Quotes</w:t>
            </w:r>
          </w:p>
        </w:tc>
      </w:tr>
      <w:tr>
        <w:tc>
          <w:tcPr>
            <w:tcW w:type="dxa" w:w="4320"/>
          </w:tcPr>
          <w:p>
            <w:r>
              <w:t>jobs</w:t>
            </w:r>
          </w:p>
        </w:tc>
        <w:tc>
          <w:tcPr>
            <w:tcW w:type="dxa" w:w="4320"/>
          </w:tcPr>
          <w:p>
            <w:r>
              <w:t>1. "Over the years, it has contributed significantly to Malaysia's GDP — creating skilled jobs, playing an integral part in international trade, and all-in-all, being a major source of fiscal income for the nation's coffers." [page 3]</w:t>
              <w:br/>
              <w:br/>
              <w:t>2. "This includes increased investments, economic multipliers, and the creation of jobs in future-proof sectors across the entire energy sector value chain." [page 6]</w:t>
              <w:br/>
              <w:br/>
              <w:t>3. "Implement long-term strategic workforce transition planning to facilitate equitable transitions in skills and jobs as new sectors grow and existing sectors change and transform in line with energy transition." [page 37]</w:t>
              <w:br/>
              <w:br/>
              <w:t>4. "Job creation 207,000 added jobs, majority in green economy sectors." [page 43]</w:t>
              <w:br/>
              <w:br/>
              <w:t>5. "Economic opportunities from DTN will also enhance social outcomes for Malaysians, such as providing secure future-proof jobs and promoting balanced regional development." [page 44]</w:t>
              <w:br/>
              <w:br/>
              <w:t>6. "Additional 207,000 new jobs, majority in green economy sectors." [page 44]</w:t>
              <w:br/>
              <w:br/>
              <w:t>7. "Large economic benefits will be unlocked with the development of new growth areas which will uplift GDP contribution, create jobs, attract FDI, and strengthen economic and fiscal sustainability of the country." [page 48]</w:t>
              <w:br/>
              <w:br/>
              <w:t>8. "Optimise value creation to the country from indigenous oil and gas resources through exports and domestic uses including industry, petrochemicals and power generation based on long-term business case, sustainable input pricing, as well as GDP and jobs contribution impact." [page 50]</w:t>
              <w:br/>
              <w:br/>
              <w:t>9. "Jobs and business opportunities created in the energy sector as well as economic multipliers in energy-related supply chains have also contributed significantly to the quality of life and positive socioeconomic effects for the rakyat." [page 9]</w:t>
              <w:br/>
              <w:br/>
              <w:t>10. "Support growth and development of local energy efficiency industry to improve GDP contribution and job creation and unlock synergies with smart city efforts." [page 57]</w:t>
              <w:br/>
              <w:br/>
              <w:t>11. "This includes economic development benefits such as increased GDP, job creation and FDI inflows." [page 43]</w:t>
              <w:br/>
              <w:br/>
              <w:t>12. "Support growth and development of local energy efficiency industry for GDP contribution and job creation, and unlock synergies with 4IR efforts." [page 56]</w:t>
              <w:br/>
              <w:br/>
              <w:t>13. "Through the DTN, new investments channelled into emerging energy sector areas and the green economy will be catalysed to spur enduring GDP growth and job creation." [page 4]</w:t>
              <w:br/>
              <w:br/>
              <w:t>14. "Unlock new value pools, GDP contribution and job creation from hydrogen economy, keeping pace with technology development in various end uses." [page 63]</w:t>
              <w:br/>
              <w:br/>
              <w:t>15. "Benefit from spillover effects such as GDP contribution and job creation from entry of foreign investments." [page 65]</w:t>
              <w:br/>
              <w:br/>
              <w:t>16. "Enhance competitive advantage and increase value-add of energy sector players with enhanced localisation of technology capabilities, contribution to GDP, job creation, and technology export income." [page 68]</w:t>
            </w:r>
          </w:p>
        </w:tc>
      </w:tr>
      <w:tr>
        <w:tc>
          <w:tcPr>
            <w:tcW w:type="dxa" w:w="4320"/>
          </w:tcPr>
          <w:p/>
        </w:tc>
        <w:tc>
          <w:tcPr>
            <w:tcW w:type="dxa" w:w="4320"/>
          </w:tcPr>
          <w:p/>
        </w:tc>
      </w:tr>
    </w:tbl>
    <w:p>
      <w:pPr>
        <w:pStyle w:val="Heading4"/>
      </w:pPr>
      <w:r>
        <w:t>1 documents (73 total pages) processed in 12.70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646C39C7-A914-4200-B281-4E37E4B6BBAC}"/>
</file>

<file path=customXml/itemProps3.xml><?xml version="1.0" encoding="utf-8"?>
<ds:datastoreItem xmlns:ds="http://schemas.openxmlformats.org/officeDocument/2006/customXml" ds:itemID="{2D324109-C98B-43C9-945D-FA7FC2840022}"/>
</file>

<file path=customXml/itemProps4.xml><?xml version="1.0" encoding="utf-8"?>
<ds:datastoreItem xmlns:ds="http://schemas.openxmlformats.org/officeDocument/2006/customXml" ds:itemID="{4B06EA0F-EE0A-4E7D-8EED-C1CB2E9A23CB}"/>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ies>
</file>