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r>
    </w:p>
    <w:p>
      <w:pPr>
        <w:jc w:val="center"/>
      </w:pPr>
      <w:r>
        <w:rPr>
          <w:b/>
        </w:rPr>
        <w:t>EASTERN DISTRICT OF NORTH CAROLINA</w:t>
      </w:r>
    </w:p>
    <w:p>
      <w:pPr>
        <w:jc w:val="center"/>
      </w:pPr>
      <w:r>
        <w:rPr>
          <w:b/>
        </w:rPr>
        <w:t>WESTERN DIVISION</w:t>
      </w:r>
    </w:p>
    <w:p>
      <w:pPr>
        <w:jc w:val="left"/>
      </w:pPr>
      <w:r/>
    </w:p>
    <w:p>
      <w:pPr>
        <w:jc w:val="left"/>
      </w:pPr>
      <w:r>
        <w:t>UNITED STATES OF AMERICA,</w:t>
      </w:r>
    </w:p>
    <w:p>
      <w:pPr>
        <w:jc w:val="left"/>
      </w:pPr>
      <w:r>
        <w:t>Plaintiff,</w:t>
      </w:r>
    </w:p>
    <w:p>
      <w:pPr>
        <w:jc w:val="left"/>
      </w:pPr>
      <w:r/>
    </w:p>
    <w:p>
      <w:pPr>
        <w:jc w:val="left"/>
      </w:pPr>
      <w:r>
        <w:t>v.</w:t>
      </w:r>
    </w:p>
    <w:p>
      <w:pPr>
        <w:jc w:val="left"/>
      </w:pPr>
      <w:r/>
    </w:p>
    <w:p>
      <w:pPr>
        <w:jc w:val="left"/>
      </w:pPr>
      <w:r>
        <w:t>WILLIAM SCOTT DAVIS, JR.,</w:t>
      </w:r>
    </w:p>
    <w:p>
      <w:pPr>
        <w:jc w:val="left"/>
      </w:pPr>
      <w:r>
        <w:t>Defendant.</w:t>
      </w:r>
    </w:p>
    <w:p>
      <w:pPr>
        <w:jc w:val="left"/>
      </w:pPr>
      <w:r/>
    </w:p>
    <w:p>
      <w:pPr>
        <w:jc w:val="center"/>
      </w:pPr>
      <w:r>
        <w:t>Case No. 5:14-cr-240-D</w:t>
      </w:r>
    </w:p>
    <w:p>
      <w:pPr>
        <w:jc w:val="center"/>
      </w:pPr>
      <w:r>
        <w:rPr>
          <w:b/>
          <w:sz w:val="24"/>
        </w:rPr>
        <w:t>ATTORNEY-REVIEW DRAFT MOTION AND PETITION FOR EARLY TERMINATION OF SUPERVISED RELEASE PURSUANT TO 18 U.S.C. § 3583(e)(1)</w:t>
      </w:r>
    </w:p>
    <w:p>
      <w:r>
        <w:rPr>
          <w:b w:val="0"/>
          <w:i w:val="0"/>
        </w:rPr>
        <w:t>Prepared from the Manning Law Firm PDF source packet for counsel review and signature. This draft incorporates the live-source correction layer: USSG §5D1.4, verified EDNC Clerk address, verified USAO EDNC address, verified Northern District of Georgia Probation address, Judge Dever courtesy-copy requirements, and corrected Eleventh Circuit authority. It should not be filed as counsel-signed unless counsel reviews, adopts, and signs it.</w:t>
      </w:r>
    </w:p>
    <w:p>
      <w:pPr>
        <w:pStyle w:val="Heading2"/>
        <w:jc w:val="left"/>
      </w:pPr>
      <w:r>
        <w:t>I. Source-Derived Purpose of This Attorney-Led Motion</w:t>
      </w:r>
    </w:p>
    <w:p>
      <w:r>
        <w:rPr>
          <w:b w:val="0"/>
          <w:i w:val="0"/>
        </w:rPr>
        <w:t>This motion is built from the Manning Law Firm source packet, which framed the requested relief as a petition for early termination of supervised release under 18 U.S.C. § 3583(e)(1), identified Thomas C. Manning and Manning Law Firm, PLLC as counsel-side anchors, identified Ashley N. Brimmer as the supervising probation officer, and used Defendant William Scott Davis, Jr.’s age, disability income, supervision compliance, proposed France support plan, and public-safety arguments as the core relief theory.</w:t>
      </w:r>
    </w:p>
    <w:p>
      <w:r>
        <w:rPr>
          <w:b w:val="0"/>
          <w:i w:val="0"/>
        </w:rPr>
        <w:t>This corrected version preserves the useful facts and legal theory from that source while replacing the prior unverified or incomplete legal infrastructure with live-source-verified corrections. It adds USSG §5D1.4, which directly addresses modification, early termination, and extension of supervised release. It also corrects the filing-routing infrastructure by adding current service and courtesy-copy addresses.</w:t>
      </w:r>
    </w:p>
    <w:p>
      <w:r>
        <w:rPr>
          <w:b w:val="0"/>
          <w:i w:val="0"/>
        </w:rPr>
        <w:t>This version remains an attorney-review draft. It should not be filed as a signed attorney submission unless counsel reviews it, approves it, attaches the supporting exhibits, makes any required factual corrections, and signs it.</w:t>
      </w:r>
    </w:p>
    <w:p>
      <w:pPr>
        <w:pStyle w:val="Heading2"/>
        <w:jc w:val="left"/>
      </w:pPr>
      <w:r>
        <w:t>II. Motion for Early Termination Under 18 U.S.C. § 3583(e)(1)</w:t>
      </w:r>
    </w:p>
    <w:p>
      <w:r>
        <w:rPr>
          <w:b w:val="0"/>
          <w:i w:val="0"/>
        </w:rPr>
        <w:t>COMES NOW Defendant William Scott Davis, Jr., by and through counsel if adopted and signed by counsel, and respectfully moves this Court for an order terminating the remaining term of supervised release imposed in United States v. Davis, No. 5:14-cr-240-D, pursuant to 18 U.S.C. § 3583(e)(1).</w:t>
      </w:r>
    </w:p>
    <w:p>
      <w:r>
        <w:rPr>
          <w:b w:val="0"/>
          <w:i w:val="0"/>
        </w:rPr>
        <w:t>This motion is not based on routine compliance alone. Defendant recognizes that compliance with supervised release is expected. The request is based on the totality of the supervision record and the present absence of any remaining supervision purpose sufficient to justify continued federal oversight.</w:t>
      </w:r>
    </w:p>
    <w:p>
      <w:r>
        <w:rPr>
          <w:b w:val="0"/>
          <w:i w:val="0"/>
        </w:rPr>
        <w:t>Defendant respectfully requests that the Court terminate supervised release and discharge him from further supervision in this matter.</w:t>
      </w:r>
    </w:p>
    <w:p>
      <w:pPr>
        <w:pStyle w:val="Heading2"/>
        <w:jc w:val="left"/>
      </w:pPr>
      <w:r>
        <w:t>III. Threshold Eligibility</w:t>
      </w:r>
    </w:p>
    <w:p>
      <w:r>
        <w:rPr>
          <w:b w:val="0"/>
          <w:i w:val="0"/>
        </w:rPr>
        <w:t>Section 3583(e)(1) authorizes the Court to terminate supervised release after the expiration of one year if, after considering the applicable factors set forth in 18 U.S.C. § 3553(a), the Court is satisfied that termination is warranted by the conduct of the defendant and the interest of justice.</w:t>
      </w:r>
    </w:p>
    <w:p>
      <w:r>
        <w:rPr>
          <w:b w:val="0"/>
          <w:i w:val="0"/>
        </w:rPr>
        <w:t>Defendant satisfies the threshold timing requirement. The Manning source packet represents that Defendant has completed over one year of supervised release. The broader case materials reflect that the intended early-termination theory is based on release on or about May 10, 2024 and successful completion of more than one year of supervision.</w:t>
      </w:r>
    </w:p>
    <w:p>
      <w:r>
        <w:rPr>
          <w:b w:val="0"/>
          <w:i w:val="0"/>
        </w:rPr>
        <w:t>The timing requirement is therefore satisfied, subject to the Court’s review of the supervision record and any Probation Office confirmation.</w:t>
      </w:r>
    </w:p>
    <w:p>
      <w:pPr>
        <w:pStyle w:val="Heading2"/>
        <w:jc w:val="left"/>
      </w:pPr>
      <w:r>
        <w:t>IV. USSG §5D1.4 Strengthens the Early-Termination Framework</w:t>
      </w:r>
    </w:p>
    <w:p>
      <w:r>
        <w:rPr>
          <w:b w:val="0"/>
          <w:i w:val="0"/>
        </w:rPr>
        <w:t>The corrected package adds USSG §5D1.4, titled Modification, Early Termination, and Extension of Supervised Release. Section 5D1.4 now expressly addresses early termination as a policy-statement issue and aligns with 18 U.S.C. § 3583(e)(1).</w:t>
      </w:r>
    </w:p>
    <w:p>
      <w:r>
        <w:rPr>
          <w:b w:val="0"/>
          <w:i w:val="0"/>
        </w:rPr>
        <w:t>Section 5D1.4(b) confirms that after one year of supervised release, and after an individualized assessment of the need for ongoing supervision, the Court may terminate the remaining term and discharge the defendant if, following consultation with the government and probation officer, termination is warranted by the defendant’s conduct and in the interest of justice.</w:t>
      </w:r>
    </w:p>
    <w:p>
      <w:r>
        <w:rPr>
          <w:b w:val="0"/>
          <w:i w:val="0"/>
        </w:rPr>
        <w:t>Application Note 1(B) identifies early-termination factors that fit the Davis request: any history of court-reported violations, ability to lawfully self-manage, substantial compliance with all conditions, prosocial activities and support, risk reduction or maintenance of the lowest risk category, and whether termination will jeopardize public safety. Defendant’s motion should now be read through that current policy framework.</w:t>
      </w:r>
    </w:p>
    <w:p>
      <w:pPr>
        <w:pStyle w:val="Heading2"/>
        <w:jc w:val="left"/>
      </w:pPr>
      <w:r>
        <w:t>V. Standing, Compliance, and Supervision Record</w:t>
      </w:r>
    </w:p>
    <w:p>
      <w:r>
        <w:rPr>
          <w:b w:val="0"/>
          <w:i w:val="0"/>
        </w:rPr>
        <w:t>Defendant has been supervised through the United States Probation Office in the Northern District of Georgia. The source packet identifies U.S. Probation Officer Ashley N. Brimmer as the supervising officer. The Court, however, retains the sole judicial authority to terminate supervision.</w:t>
      </w:r>
    </w:p>
    <w:p>
      <w:r>
        <w:rPr>
          <w:b w:val="0"/>
          <w:i w:val="0"/>
        </w:rPr>
        <w:t>Compliance is not presented as a magic word. Compliance matters because § 3583(e)(1) expressly directs the Court to consider the conduct of the defendant. USSG §5D1.4 now reinforces the same point by identifying substantial compliance and ability to self-manage as proper factors in the individualized assessment.</w:t>
      </w:r>
    </w:p>
    <w:p>
      <w:r>
        <w:rPr>
          <w:b w:val="0"/>
          <w:i w:val="0"/>
        </w:rPr>
        <w:t>Defendant’s supervision performance supports the conclusion that supervised release has served its function. Defendant has maintained a stable address, complied with supervision, avoided violation conduct, received stable disability income, and is no longer in a posture where federal supervision appears necessary to accomplish a statutory purpose.</w:t>
      </w:r>
    </w:p>
    <w:p>
      <w:pPr>
        <w:pStyle w:val="Heading2"/>
        <w:jc w:val="left"/>
      </w:pPr>
      <w:r>
        <w:t>VI. Age, Disability, and Economic Stability</w:t>
      </w:r>
    </w:p>
    <w:p>
      <w:r>
        <w:rPr>
          <w:b w:val="0"/>
          <w:i w:val="0"/>
        </w:rPr>
        <w:t>The Manning source packet states that Defendant is 65 years old and receives Social Security Disability Insurance income of approximately $2,200 per month. Those facts are relevant under 18 U.S.C. § 3553(a)(1), which requires consideration of the history and characteristics of the defendant.</w:t>
      </w:r>
    </w:p>
    <w:p>
      <w:r>
        <w:rPr>
          <w:b w:val="0"/>
          <w:i w:val="0"/>
        </w:rPr>
        <w:t>Age and disability do not automatically compel early termination. But they are relevant to present risk, supervision utility, and the need for correctional oversight. Defendant’s current circumstances support the conclusion that continued supervision is no longer necessary to protect the public or provide correctional treatment.</w:t>
      </w:r>
    </w:p>
    <w:p>
      <w:r>
        <w:rPr>
          <w:b w:val="0"/>
          <w:i w:val="0"/>
        </w:rPr>
        <w:t>Stable income also matters. The source packet emphasizes that Defendant has a stable, non-discretionary income stream. That reduces the need for supervision as an economic-stability mechanism and supports the conclusion that Defendant can lawfully self-manage.</w:t>
      </w:r>
    </w:p>
    <w:p>
      <w:pPr>
        <w:pStyle w:val="Heading2"/>
        <w:jc w:val="left"/>
      </w:pPr>
      <w:r>
        <w:t>VII. Proposed International Relocation as a Support-Plan Factor</w:t>
      </w:r>
    </w:p>
    <w:p>
      <w:r>
        <w:rPr>
          <w:b w:val="0"/>
          <w:i w:val="0"/>
        </w:rPr>
        <w:t>The source packet identifies a proposed relocation plan to France with a family-support network connected to Bouzouad Myriam. This motion does not ask the Court to treat the relocation plan as a substitute for the statutory analysis. The statutory analysis remains § 3583(e)(1), the applicable § 3553(a) factors, and USSG §5D1.4.</w:t>
      </w:r>
    </w:p>
    <w:p>
      <w:r>
        <w:rPr>
          <w:b w:val="0"/>
          <w:i w:val="0"/>
        </w:rPr>
        <w:t>The relocation plan is relevant as a support-plan factor only. If supported by documentation, it may show that Defendant has a stable long-term plan for residence, family support, care, and economic stability if supervision is terminated.</w:t>
      </w:r>
    </w:p>
    <w:p>
      <w:r>
        <w:rPr>
          <w:b w:val="0"/>
          <w:i w:val="0"/>
        </w:rPr>
        <w:t>The Court may grant early termination without adjudicating any separate immigration, passport, travel, or international-residency question. Alternatively, if the Court considers the relocation plan, Defendant requests that it be considered as part of the broader self-management, prosocial-support, and stability assessment.</w:t>
      </w:r>
    </w:p>
    <w:p>
      <w:pPr>
        <w:pStyle w:val="Heading2"/>
        <w:jc w:val="left"/>
      </w:pPr>
      <w:r>
        <w:t>VIII. This Is Not a Mere-Compliance Motion</w:t>
      </w:r>
    </w:p>
    <w:p>
      <w:r>
        <w:rPr>
          <w:b w:val="0"/>
          <w:i w:val="0"/>
        </w:rPr>
        <w:t>The anticipated denial risk is that the motion could be viewed as relying only on compliance. This corrected motion addresses that risk directly.</w:t>
      </w:r>
    </w:p>
    <w:p>
      <w:r>
        <w:rPr>
          <w:b w:val="0"/>
          <w:i w:val="0"/>
        </w:rPr>
        <w:t>Compliance with supervision is expected. Defendant does not argue otherwise. Defendant argues that the combined record demonstrates completed supervision utility. The difference is material.</w:t>
      </w:r>
    </w:p>
    <w:p>
      <w:r>
        <w:rPr>
          <w:b w:val="0"/>
          <w:i w:val="0"/>
        </w:rPr>
        <w:t>A compliance-only motion says: the defendant followed the rules. This motion says more: the defendant followed the rules, maintained stability, aged into a lower-risk posture, receives stable disability income, identified a future support plan, has no identified continuing treatment or correctional need, and can lawfully self-manage without federal supervision.</w:t>
      </w:r>
    </w:p>
    <w:p>
      <w:r>
        <w:rPr>
          <w:b w:val="0"/>
          <w:i w:val="0"/>
        </w:rPr>
        <w:t>That combined showing is materially stronger than mere compliance and tracks the individualized assessment now recognized in USSG §5D1.4.</w:t>
      </w:r>
    </w:p>
    <w:p>
      <w:pPr>
        <w:pStyle w:val="Heading2"/>
        <w:jc w:val="left"/>
      </w:pPr>
      <w:r>
        <w:t>IX. Nature and Circumstances of the Offense</w:t>
      </w:r>
    </w:p>
    <w:p>
      <w:r>
        <w:rPr>
          <w:b w:val="0"/>
          <w:i w:val="0"/>
        </w:rPr>
        <w:t>Defendant acknowledges that the nature and circumstances of the underlying offense remain relevant under § 3553(a)(1). This motion does not minimize the offense, attack the conviction, or ask the Court to rewrite the original judgment.</w:t>
      </w:r>
    </w:p>
    <w:p>
      <w:r>
        <w:rPr>
          <w:b w:val="0"/>
          <w:i w:val="0"/>
        </w:rPr>
        <w:t>The original sentence addressed the original offense through the custodial sentence, supervised-release term, special assessment, restitution, and all other components of judgment. The current question is whether the remaining period of supervision remains necessary now.</w:t>
      </w:r>
    </w:p>
    <w:p>
      <w:r>
        <w:rPr>
          <w:b w:val="0"/>
          <w:i w:val="0"/>
        </w:rPr>
        <w:t>Seriousness of the original offense should not operate as a categorical bar. If seriousness alone controlled every § 3583(e)(1) motion, early termination would be unavailable in serious cases regardless of rehabilitation, age, disability, supervision performance, self-management, or present risk. Congress did not write that rule.</w:t>
      </w:r>
    </w:p>
    <w:p>
      <w:pPr>
        <w:pStyle w:val="Heading2"/>
        <w:jc w:val="left"/>
      </w:pPr>
      <w:r>
        <w:t>X. Deterrence, Public Safety, and Supervision Utility</w:t>
      </w:r>
    </w:p>
    <w:p>
      <w:r>
        <w:rPr>
          <w:b w:val="0"/>
          <w:i w:val="0"/>
        </w:rPr>
        <w:t>The sentence imposed and the period of supervision already served have satisfied the need for specific deterrence. Defendant’s post-release conduct demonstrates that the deterrent function of the judgment has worked.</w:t>
      </w:r>
    </w:p>
    <w:p>
      <w:r>
        <w:rPr>
          <w:b w:val="0"/>
          <w:i w:val="0"/>
        </w:rPr>
        <w:t>Public safety remains important. The issue is whether continued supervision materially increases public safety in this case. Defendant’s age, disability status, stable income, stable residence, compliance, absence of violation conduct, and ability to self-manage support the conclusion that continued supervision adds no material public-safety benefit.</w:t>
      </w:r>
    </w:p>
    <w:p>
      <w:r>
        <w:rPr>
          <w:b w:val="0"/>
          <w:i w:val="0"/>
        </w:rPr>
        <w:t>Supervised release is not supposed to continue by inertia. It should continue only when it still serves a statutory purpose. Here, the record supports the conclusion that supervision has achieved its purpose.</w:t>
      </w:r>
    </w:p>
    <w:p>
      <w:pPr>
        <w:pStyle w:val="Heading2"/>
        <w:jc w:val="left"/>
      </w:pPr>
      <w:r>
        <w:t>XI. Financial Obligations and Restitution</w:t>
      </w:r>
    </w:p>
    <w:p>
      <w:r>
        <w:rPr>
          <w:b w:val="0"/>
          <w:i w:val="0"/>
        </w:rPr>
        <w:t>The Manning source packet does not attach a payment ledger, but the broader docket materials identify a $400 special assessment and restitution in the amount of $81.33. Defendant submits that if those obligations have been satisfied, that fact should support early termination.</w:t>
      </w:r>
    </w:p>
    <w:p>
      <w:r>
        <w:rPr>
          <w:b w:val="0"/>
          <w:i w:val="0"/>
        </w:rPr>
        <w:t>If the Court requires proof, Defendant requests leave to supplement with Clerk payment records, Probation confirmation, Bureau of Prisons payment records, or other reliable documentation.</w:t>
      </w:r>
    </w:p>
    <w:p>
      <w:r>
        <w:rPr>
          <w:b w:val="0"/>
          <w:i w:val="0"/>
        </w:rPr>
        <w:t>The motion does not depend only on financial satisfaction. But if the financial obligations are satisfied, that fact further supports termination because continued supervision is not necessary for collection or enforcement.</w:t>
      </w:r>
    </w:p>
    <w:p>
      <w:pPr>
        <w:pStyle w:val="Heading2"/>
        <w:jc w:val="left"/>
      </w:pPr>
      <w:r>
        <w:t>XII. Probation, Government Consultation, and Judge Dever Courtesy-Copy Compliance</w:t>
      </w:r>
    </w:p>
    <w:p>
      <w:r>
        <w:rPr>
          <w:b w:val="0"/>
          <w:i w:val="0"/>
        </w:rPr>
        <w:t>USSG §5D1.4(b) expressly recognizes consultation with the government and probation officer in the early-termination framework. Defendant therefore respectfully requests that the Court consider any position submitted by the United States Probation Office and the United States Attorney’s Office.</w:t>
      </w:r>
    </w:p>
    <w:p>
      <w:r>
        <w:rPr>
          <w:b w:val="0"/>
          <w:i w:val="0"/>
        </w:rPr>
        <w:t>The Probation Office is the institution best positioned to verify daily supervision performance, compliance, reporting, treatment status, residence stability, and whether continued supervision remains necessary. The United States Attorney’s Office is best positioned to state any public-safety, deterrence, victim-notification, or Government-position concern.</w:t>
      </w:r>
    </w:p>
    <w:p>
      <w:r>
        <w:rPr>
          <w:b w:val="0"/>
          <w:i w:val="0"/>
        </w:rPr>
        <w:t>Because Judge Dever’s practice preferences require a courtesy copy of documents containing twenty or more pages including attachments or exhibits, this corrected package includes a courtesy-copy transmittal to the Case Manager at 310 New Bern Avenue, Raleigh, North Carolina 27601.</w:t>
      </w:r>
    </w:p>
    <w:p>
      <w:pPr>
        <w:pStyle w:val="Heading2"/>
        <w:jc w:val="left"/>
      </w:pPr>
      <w:r>
        <w:t>XIII. Relief Requested</w:t>
      </w:r>
    </w:p>
    <w:p>
      <w:r>
        <w:rPr>
          <w:b w:val="0"/>
          <w:i w:val="0"/>
        </w:rPr>
        <w:t>For the foregoing reasons, Defendant respectfully requests that the Court grant this motion, terminate the remaining term of supervised release imposed in United States v. Davis, No. 5:14-cr-240-D, discharge Defendant from further supervision, and grant such other relief as the Court deems just and proper.</w:t>
      </w:r>
    </w:p>
    <w:p>
      <w:r>
        <w:rPr>
          <w:b w:val="0"/>
          <w:i w:val="0"/>
        </w:rPr>
        <w:t>Respectfully submitted,</w:t>
      </w:r>
    </w:p>
    <w:p>
      <w:r>
        <w:rPr>
          <w:b/>
          <w:i w:val="0"/>
        </w:rPr>
        <w:t>[Counsel signature required before filing]</w:t>
      </w:r>
    </w:p>
    <w:p>
      <w:r>
        <w:rPr>
          <w:b w:val="0"/>
          <w:i w:val="0"/>
        </w:rPr>
        <w:t>Thomas C. Manning</w:t>
      </w:r>
    </w:p>
    <w:p>
      <w:r>
        <w:rPr>
          <w:b w:val="0"/>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Text line: (919) 801-3267</w:t>
      </w:r>
    </w:p>
    <w:p>
      <w:r>
        <w:rPr>
          <w:b w:val="0"/>
          <w:i w:val="0"/>
        </w:rPr>
        <w:t>Email: [Counsel email address to be verified before filing]</w:t>
      </w:r>
    </w:p>
    <w:p>
      <w:r>
        <w:rPr>
          <w:b w:val="0"/>
          <w:i w:val="0"/>
        </w:rPr>
        <w:t>Counsel for Defendant William Scott Davis, Jr., if adopted and signed by counsel</w:t>
      </w:r>
    </w:p>
    <w:p>
      <w:r>
        <w:br w:type="page"/>
      </w:r>
    </w:p>
    <w:p>
      <w:pPr>
        <w:jc w:val="center"/>
      </w:pPr>
      <w:r>
        <w:rPr>
          <w:b/>
        </w:rPr>
        <w:t>UNITED STATES DISTRICT COURT</w:t>
      </w:r>
    </w:p>
    <w:p>
      <w:pPr>
        <w:jc w:val="center"/>
      </w:pPr>
      <w:r>
        <w:rPr>
          <w:b/>
        </w:rPr>
        <w:t>EASTERN DISTRICT OF NORTH CAROLINA</w:t>
      </w:r>
    </w:p>
    <w:p>
      <w:pPr>
        <w:jc w:val="center"/>
      </w:pPr>
      <w:r>
        <w:rPr>
          <w:b/>
        </w:rPr>
        <w:t>WESTERN DIVISION</w:t>
      </w:r>
    </w:p>
    <w:p>
      <w:pPr>
        <w:jc w:val="left"/>
      </w:pPr>
      <w:r/>
    </w:p>
    <w:p>
      <w:pPr>
        <w:jc w:val="left"/>
      </w:pPr>
      <w:r>
        <w:t>UNITED STATES OF AMERICA,</w:t>
      </w:r>
    </w:p>
    <w:p>
      <w:pPr>
        <w:jc w:val="left"/>
      </w:pPr>
      <w:r>
        <w:t>Plaintiff,</w:t>
      </w:r>
    </w:p>
    <w:p>
      <w:pPr>
        <w:jc w:val="left"/>
      </w:pPr>
      <w:r/>
    </w:p>
    <w:p>
      <w:pPr>
        <w:jc w:val="left"/>
      </w:pPr>
      <w:r>
        <w:t>v.</w:t>
      </w:r>
    </w:p>
    <w:p>
      <w:pPr>
        <w:jc w:val="left"/>
      </w:pPr>
      <w:r/>
    </w:p>
    <w:p>
      <w:pPr>
        <w:jc w:val="left"/>
      </w:pPr>
      <w:r>
        <w:t>WILLIAM SCOTT DAVIS, JR.,</w:t>
      </w:r>
    </w:p>
    <w:p>
      <w:pPr>
        <w:jc w:val="left"/>
      </w:pPr>
      <w:r>
        <w:t>Defendant.</w:t>
      </w:r>
    </w:p>
    <w:p>
      <w:pPr>
        <w:jc w:val="left"/>
      </w:pPr>
      <w:r/>
    </w:p>
    <w:p>
      <w:pPr>
        <w:jc w:val="center"/>
      </w:pPr>
      <w:r>
        <w:t>Case No. 5:14-cr-240-D</w:t>
      </w:r>
    </w:p>
    <w:p>
      <w:pPr>
        <w:jc w:val="center"/>
      </w:pPr>
      <w:r>
        <w:rPr>
          <w:b/>
          <w:sz w:val="24"/>
        </w:rPr>
        <w:t>MEMORANDUM OF LAW IN SUPPORT OF ATTORNEY-REVIEW DRAFT MOTION FOR EARLY TERMINATION OF SUPERVISED RELEASE</w:t>
      </w:r>
    </w:p>
    <w:p>
      <w:r>
        <w:rPr>
          <w:b w:val="0"/>
          <w:i w:val="0"/>
        </w:rPr>
        <w:t>Defendant William Scott Davis, Jr., by and through counsel if adopted and signed by counsel, submits this corrected, web-verified memorandum in support of the Motion for Early Termination of Supervised Release under 18 U.S.C. § 3583(e)(1).</w:t>
      </w:r>
    </w:p>
    <w:p>
      <w:pPr>
        <w:pStyle w:val="Heading2"/>
        <w:jc w:val="left"/>
      </w:pPr>
      <w:r>
        <w:t>I. The Corrected Governing Framework</w:t>
      </w:r>
    </w:p>
    <w:p>
      <w:r>
        <w:rPr>
          <w:b w:val="0"/>
          <w:i w:val="0"/>
        </w:rPr>
        <w:t>The governing statutory framework is 18 U.S.C. § 3583(e)(1), which authorizes early termination after the expiration of one year of supervised release when the Court, after considering the applicable § 3553(a) factors, is satisfied that termination is warranted by the defendant’s conduct and the interest of justice.</w:t>
      </w:r>
    </w:p>
    <w:p>
      <w:r>
        <w:rPr>
          <w:b w:val="0"/>
          <w:i w:val="0"/>
        </w:rPr>
        <w:t>The corrected legal framework now also includes USSG §5D1.4, adopted through Amendment 835, which directly addresses modification, early termination, and extension of supervised release. This is the most important legal upgrade to the prior draft.</w:t>
      </w:r>
    </w:p>
    <w:p>
      <w:r>
        <w:rPr>
          <w:b w:val="0"/>
          <w:i w:val="0"/>
        </w:rPr>
        <w:t>The present motion satisfies the threshold timing requirement and asks the Court to conduct an individualized assessment of the need for ongoing supervision.</w:t>
      </w:r>
    </w:p>
    <w:p>
      <w:pPr>
        <w:pStyle w:val="Heading2"/>
        <w:jc w:val="left"/>
      </w:pPr>
      <w:r>
        <w:t>II. Section 3583(e)(1) Does Not Require a Freestanding Extraordinary-Circumstances Element</w:t>
      </w:r>
    </w:p>
    <w:p>
      <w:r>
        <w:rPr>
          <w:b w:val="0"/>
          <w:i w:val="0"/>
        </w:rPr>
        <w:t>Section 3583(e)(1) does not contain the phrase extraordinary circumstances. The statutory requirement is conduct plus the interest of justice after consideration of the applicable § 3553(a) factors.</w:t>
      </w:r>
    </w:p>
    <w:p>
      <w:r>
        <w:rPr>
          <w:b w:val="0"/>
          <w:i w:val="0"/>
        </w:rPr>
        <w:t>A court may deny early termination where a defendant offers only routine compliance and no developed reason why supervision no longer serves a statutory purpose. But that is different from converting extraordinary circumstances into a separate element that Congress did not impose.</w:t>
      </w:r>
    </w:p>
    <w:p>
      <w:r>
        <w:rPr>
          <w:b w:val="0"/>
          <w:i w:val="0"/>
        </w:rPr>
        <w:t>Defendant’s motion satisfies a rigorous standard because it is not compliance-only. It rests on completion of more than one year of supervision, substantial compliance, age, disability status, stable income, stable residence, ability to self-manage, lack of violation conduct, support planning, absence of identified continuing correctional need, and no material public-safety benefit from continued supervision.</w:t>
      </w:r>
    </w:p>
    <w:p>
      <w:pPr>
        <w:pStyle w:val="Heading2"/>
        <w:jc w:val="left"/>
      </w:pPr>
      <w:r>
        <w:t>III. Applicable § 3553(a) Factors</w:t>
      </w:r>
    </w:p>
    <w:p>
      <w:r>
        <w:rPr>
          <w:b w:val="0"/>
          <w:i w:val="0"/>
        </w:rPr>
        <w:t>Section 3583(e) incorporates selected § 3553(a) factors: § 3553(a)(1), (a)(2)(B), (a)(2)(C), (a)(2)(D), (a)(4), (a)(5), (a)(6), and (a)(7).</w:t>
      </w:r>
    </w:p>
    <w:p>
      <w:r>
        <w:rPr>
          <w:b w:val="0"/>
          <w:i w:val="0"/>
        </w:rPr>
        <w:t>Section 3583(e) does not expressly incorporate § 3553(a)(2)(A), which concerns just punishment, respect for law, and seriousness of the offense. The original offense remains relevant under § 3553(a)(1), but the early-termination inquiry should not become a pure retribution analysis detached from present supervision need.</w:t>
      </w:r>
    </w:p>
    <w:p>
      <w:r>
        <w:rPr>
          <w:b w:val="0"/>
          <w:i w:val="0"/>
        </w:rPr>
        <w:t>The applicable factors support termination because Defendant has completed the transition function of supervision, can lawfully self-manage, has complied with the conditions of supervision, and presents no identified need for continued treatment, monitoring, or correctional support.</w:t>
      </w:r>
    </w:p>
    <w:p>
      <w:pPr>
        <w:pStyle w:val="Heading2"/>
        <w:jc w:val="left"/>
      </w:pPr>
      <w:r>
        <w:t>IV. Supreme Court Authority</w:t>
      </w:r>
    </w:p>
    <w:p>
      <w:r>
        <w:rPr>
          <w:b w:val="0"/>
          <w:i w:val="0"/>
        </w:rPr>
        <w:t>United States v. Johnson, 529 U.S. 53 (2000), supports the proposition that supervised release serves rehabilitative ends distinct from incarceration. That principle matters because continued supervision should not become a mechanical extension of punishment after its rehabilitative function has been fulfilled.</w:t>
      </w:r>
    </w:p>
    <w:p>
      <w:r>
        <w:rPr>
          <w:b w:val="0"/>
          <w:i w:val="0"/>
        </w:rPr>
        <w:t>Pepper v. United States, 562 U.S. 476 (2011), supports consideration of post-sentencing rehabilitation in sentencing-factor analysis. Defendant’s performance under supervision is the most current evidence of present risk and current character.</w:t>
      </w:r>
    </w:p>
    <w:p>
      <w:r>
        <w:rPr>
          <w:b w:val="0"/>
          <w:i w:val="0"/>
        </w:rPr>
        <w:t>Tapia v. United States, 564 U.S. 319 (2011), confirms the distinction between punishment and rehabilitation. That distinction supports early termination where supervision no longer provides a meaningful rehabilitative, treatment, correctional, or public-safety function.</w:t>
      </w:r>
    </w:p>
    <w:p>
      <w:r>
        <w:rPr>
          <w:b w:val="0"/>
          <w:i w:val="0"/>
        </w:rPr>
        <w:t>Gall v. United States, 552 U.S. 38 (2007), and Rita v. United States, 551 U.S. 338 (2007), support individualized, reasoned decision-making. The present filing gives the Court a structured record for that individualized ruling.</w:t>
      </w:r>
    </w:p>
    <w:p>
      <w:pPr>
        <w:pStyle w:val="Heading2"/>
        <w:jc w:val="left"/>
      </w:pPr>
      <w:r>
        <w:t>V. Fourth Circuit Authority</w:t>
      </w:r>
    </w:p>
    <w:p>
      <w:r>
        <w:rPr>
          <w:b w:val="0"/>
          <w:i w:val="0"/>
        </w:rPr>
        <w:t>United States v. Pregent, 190 F.3d 279 (4th Cir. 1999), remains the principal Fourth Circuit authority. Pregent confirms that a § 3583(e)(1) motion is not a collateral attack and that the district court must evaluate both the defendant’s conduct and the interest of justice.</w:t>
      </w:r>
    </w:p>
    <w:p>
      <w:r>
        <w:rPr>
          <w:b w:val="0"/>
          <w:i w:val="0"/>
        </w:rPr>
        <w:t>Pregent is useful here because Defendant does not use this motion to relitigate the conviction or original sentence. Defendant asks the present statutory question: whether continued supervision remains necessary after more than one year of release and after actual post-release conduct can be evaluated.</w:t>
      </w:r>
    </w:p>
    <w:p>
      <w:r>
        <w:rPr>
          <w:b w:val="0"/>
          <w:i w:val="0"/>
        </w:rPr>
        <w:t>United States v. Webb, 738 F.3d 638 (4th Cir. 2013), supports the § 3583(e) factor-selection framework. The Court should consider the factors Congress incorporated, without converting this proceeding into a pure retribution review.</w:t>
      </w:r>
    </w:p>
    <w:p>
      <w:r>
        <w:rPr>
          <w:b w:val="0"/>
          <w:i w:val="0"/>
        </w:rPr>
        <w:t>Additional Fourth Circuit authorities, including United States v. McLeod, 972 F.3d 637 (4th Cir. 2020), United States v. Crudup, 461 F.3d 433 (4th Cir. 2006), United States v. Thompson, 595 F.3d 544 (4th Cir. 2010), and United States v. Slappy, 872 F.3d 202 (4th Cir. 2017), support the broader supervised-release framework: statutory factor review, reasoned decisions, and treatment of nonfrivolous arguments.</w:t>
      </w:r>
    </w:p>
    <w:p>
      <w:pPr>
        <w:pStyle w:val="Heading2"/>
        <w:jc w:val="left"/>
      </w:pPr>
      <w:r>
        <w:t>VI. USSG §5D1.4 Requires an Individualized Assessment of Ongoing Supervision Need</w:t>
      </w:r>
    </w:p>
    <w:p>
      <w:r>
        <w:rPr>
          <w:b w:val="0"/>
          <w:i w:val="0"/>
        </w:rPr>
        <w:t>USSG §5D1.4 is the correction layer that must be inserted into the final package. Section 5D1.4(b) recognizes that after one year of supervised release, and after an individualized assessment of the need for ongoing supervision, the Court may terminate the remaining term and discharge the defendant if termination is warranted by conduct and the interest of justice following consultation with the government and the probation officer.</w:t>
      </w:r>
    </w:p>
    <w:p>
      <w:r>
        <w:rPr>
          <w:b w:val="0"/>
          <w:i w:val="0"/>
        </w:rPr>
        <w:t>Application Note 1(B) identifies early-termination factors directly relevant here: history of court-reported violations, ability to lawfully self-manage, substantial compliance, prosocial activities and support, risk reduction or maintenance of a low-risk category, and whether termination would jeopardize public safety.</w:t>
      </w:r>
    </w:p>
    <w:p>
      <w:r>
        <w:rPr>
          <w:b w:val="0"/>
          <w:i w:val="0"/>
        </w:rPr>
        <w:t>Defendant’s motion tracks those factors. Defendant has no identified court-reported violation history during the relevant supervision period, has substantially complied with conditions, has stable disability income, has maintained residence stability, has a support-plan theory, and presents a record supporting lawful self-management without continued federal supervision.</w:t>
      </w:r>
    </w:p>
    <w:p>
      <w:r>
        <w:rPr>
          <w:b w:val="0"/>
          <w:i w:val="0"/>
        </w:rPr>
        <w:t>The policy statement therefore strengthens rather than weakens the early-termination request. It also makes Probation and Government consultation part of the correct filing architecture.</w:t>
      </w:r>
    </w:p>
    <w:p>
      <w:pPr>
        <w:pStyle w:val="Heading2"/>
        <w:jc w:val="left"/>
      </w:pPr>
      <w:r>
        <w:t>VII. Eleventh Circuit Persuasive Authority and Georgia Supervision Administration</w:t>
      </w:r>
    </w:p>
    <w:p>
      <w:r>
        <w:rPr>
          <w:b w:val="0"/>
          <w:i w:val="0"/>
        </w:rPr>
        <w:t>The sentencing court is the Eastern District of North Carolina, and Fourth Circuit law controls. Eleventh Circuit authority is not binding.</w:t>
      </w:r>
    </w:p>
    <w:p>
      <w:r>
        <w:rPr>
          <w:b w:val="0"/>
          <w:i w:val="0"/>
        </w:rPr>
        <w:t>Eleventh Circuit authority is relevant only in a limited institutional sense because Defendant’s supervision has been administered through the Northern District of Georgia Probation Office. Probation may supervise, monitor, evaluate, document, assist, and report. The Court decides.</w:t>
      </w:r>
    </w:p>
    <w:p>
      <w:r>
        <w:rPr>
          <w:b w:val="0"/>
          <w:i w:val="0"/>
        </w:rPr>
        <w:t>United States v. Johnson, 877 F.3d 993 (11th Cir. 2017), is a corrected Eleventh Circuit early-termination citation. Johnson supports the limited proposition that the record or order should show consideration of the pertinent § 3553(a) factors to allow meaningful appellate review. It is persuasive only and does not control this Court.</w:t>
      </w:r>
    </w:p>
    <w:p>
      <w:r>
        <w:rPr>
          <w:b w:val="0"/>
          <w:i w:val="0"/>
        </w:rPr>
        <w:t>The prior citation to an Eleventh Circuit Johnson case at 851 F.3d 1159 should not be used for the early-termination proposition in this package.</w:t>
      </w:r>
    </w:p>
    <w:p>
      <w:pPr>
        <w:pStyle w:val="Heading2"/>
        <w:jc w:val="left"/>
      </w:pPr>
      <w:r>
        <w:t>VIII. Judge Dever Denial-Risk Response</w:t>
      </w:r>
    </w:p>
    <w:p>
      <w:r>
        <w:rPr>
          <w:b w:val="0"/>
          <w:i w:val="0"/>
        </w:rPr>
        <w:t>The Manning source packet and the Dever strategy source identify the core denial risks: mere compliance, offense seriousness, public safety, treatment or monitoring need, and Probation or Government opposition. This corrected memorandum addresses each risk directly.</w:t>
      </w:r>
    </w:p>
    <w:p>
      <w:r>
        <w:rPr>
          <w:b w:val="0"/>
          <w:i w:val="0"/>
        </w:rPr>
        <w:t>This is not a mere-compliance motion. It is a completed-supervision-utility motion supported by USSG §5D1.4 factors.</w:t>
      </w:r>
    </w:p>
    <w:p>
      <w:r>
        <w:rPr>
          <w:b w:val="0"/>
          <w:i w:val="0"/>
        </w:rPr>
        <w:t>The original offense is addressed but not treated as a categorical bar. Public safety is addressed through age, disability, compliance, stability, and ability to self-manage. Treatment and monitoring are addressed by the absence of an identified continuing need. Probation and Government consultation are expressly requested.</w:t>
      </w:r>
    </w:p>
    <w:p>
      <w:pPr>
        <w:pStyle w:val="Heading2"/>
        <w:jc w:val="left"/>
      </w:pPr>
      <w:r>
        <w:t>IX. Application to Defendant Davis</w:t>
      </w:r>
    </w:p>
    <w:p>
      <w:r>
        <w:rPr>
          <w:b w:val="0"/>
          <w:i w:val="0"/>
        </w:rPr>
        <w:t>Defendant satisfies the one-year threshold. Defendant’s conduct supports termination. The applicable § 3553(a) factors support termination. USSG §5D1.4 supports an individualized assessment that asks whether ongoing supervision is still needed.</w:t>
      </w:r>
    </w:p>
    <w:p>
      <w:r>
        <w:rPr>
          <w:b w:val="0"/>
          <w:i w:val="0"/>
        </w:rPr>
        <w:t>Defendant is 65 years old, receives stable Social Security Disability income, has maintained stability, has complied with supervision, has not been identified as needing continued treatment or correctional monitoring, and asks that Probation and the Government state any opposition with specificity if either believes continued supervision remains necessary.</w:t>
      </w:r>
    </w:p>
    <w:p>
      <w:r>
        <w:rPr>
          <w:b w:val="0"/>
          <w:i w:val="0"/>
        </w:rPr>
        <w:t>Continued supervision would be greater than necessary because it would impose ongoing federal oversight without a corresponding statutory benefit.</w:t>
      </w:r>
    </w:p>
    <w:p>
      <w:pPr>
        <w:pStyle w:val="Heading2"/>
        <w:jc w:val="left"/>
      </w:pPr>
      <w:r>
        <w:t>X. Conclusion</w:t>
      </w:r>
    </w:p>
    <w:p>
      <w:r>
        <w:rPr>
          <w:b w:val="0"/>
          <w:i w:val="0"/>
        </w:rPr>
        <w:t>For the foregoing reasons, Defendant respectfully requests that the Court grant the Motion for Early Termination of Supervised Release, terminate the remaining term of supervision imposed in United States v. Davis, No. 5:14-cr-240-D, discharge Defendant from further supervision, and grant such other relief as the Court deems just and proper.</w:t>
      </w:r>
    </w:p>
    <w:p>
      <w:r>
        <w:rPr>
          <w:b w:val="0"/>
          <w:i w:val="0"/>
        </w:rPr>
        <w:t>Respectfully submitted,</w:t>
      </w:r>
    </w:p>
    <w:p>
      <w:r>
        <w:rPr>
          <w:b/>
          <w:i w:val="0"/>
        </w:rPr>
        <w:t>[Counsel signature required before filing]</w:t>
      </w:r>
    </w:p>
    <w:p>
      <w:r>
        <w:rPr>
          <w:b w:val="0"/>
          <w:i w:val="0"/>
        </w:rPr>
        <w:t>Thomas C. Manning</w:t>
      </w:r>
    </w:p>
    <w:p>
      <w:r>
        <w:rPr>
          <w:b w:val="0"/>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Text line: (919) 801-3267</w:t>
      </w:r>
    </w:p>
    <w:p>
      <w:r>
        <w:rPr>
          <w:b w:val="0"/>
          <w:i w:val="0"/>
        </w:rPr>
        <w:t>Email: [Counsel email address to be verified before filing]</w:t>
      </w:r>
    </w:p>
    <w:p>
      <w:r>
        <w:rPr>
          <w:b w:val="0"/>
          <w:i w:val="0"/>
        </w:rPr>
        <w:t>Counsel for Defendant William Scott Davis, Jr., if adopted and signed by counsel</w:t>
      </w:r>
    </w:p>
    <w:p>
      <w:r>
        <w:br w:type="page"/>
      </w:r>
    </w:p>
    <w:p>
      <w:pPr>
        <w:jc w:val="center"/>
      </w:pPr>
      <w:r>
        <w:rPr>
          <w:b/>
        </w:rPr>
        <w:t>UNITED STATES DISTRICT COURT</w:t>
      </w:r>
    </w:p>
    <w:p>
      <w:pPr>
        <w:jc w:val="center"/>
      </w:pPr>
      <w:r>
        <w:rPr>
          <w:b/>
        </w:rPr>
        <w:t>EASTERN DISTRICT OF NORTH CAROLINA</w:t>
      </w:r>
    </w:p>
    <w:p>
      <w:pPr>
        <w:jc w:val="center"/>
      </w:pPr>
      <w:r>
        <w:rPr>
          <w:b/>
        </w:rPr>
        <w:t>WESTERN DIVISION</w:t>
      </w:r>
    </w:p>
    <w:p>
      <w:pPr>
        <w:jc w:val="left"/>
      </w:pPr>
      <w:r/>
    </w:p>
    <w:p>
      <w:pPr>
        <w:jc w:val="left"/>
      </w:pPr>
      <w:r>
        <w:t>UNITED STATES OF AMERICA,</w:t>
      </w:r>
    </w:p>
    <w:p>
      <w:pPr>
        <w:jc w:val="left"/>
      </w:pPr>
      <w:r>
        <w:t>Plaintiff,</w:t>
      </w:r>
    </w:p>
    <w:p>
      <w:pPr>
        <w:jc w:val="left"/>
      </w:pPr>
      <w:r/>
    </w:p>
    <w:p>
      <w:pPr>
        <w:jc w:val="left"/>
      </w:pPr>
      <w:r>
        <w:t>v.</w:t>
      </w:r>
    </w:p>
    <w:p>
      <w:pPr>
        <w:jc w:val="left"/>
      </w:pPr>
      <w:r/>
    </w:p>
    <w:p>
      <w:pPr>
        <w:jc w:val="left"/>
      </w:pPr>
      <w:r>
        <w:t>WILLIAM SCOTT DAVIS, JR.,</w:t>
      </w:r>
    </w:p>
    <w:p>
      <w:pPr>
        <w:jc w:val="left"/>
      </w:pPr>
      <w:r>
        <w:t>Defendant.</w:t>
      </w:r>
    </w:p>
    <w:p>
      <w:pPr>
        <w:jc w:val="left"/>
      </w:pPr>
      <w:r/>
    </w:p>
    <w:p>
      <w:pPr>
        <w:jc w:val="center"/>
      </w:pPr>
      <w:r>
        <w:t>Case No. 5:14-cr-240-D</w:t>
      </w:r>
    </w:p>
    <w:p>
      <w:pPr>
        <w:jc w:val="center"/>
      </w:pPr>
      <w:r>
        <w:rPr>
          <w:b/>
          <w:sz w:val="24"/>
        </w:rPr>
        <w:t>AUTHORITY-CONTROLLED TABLE OF AUTHORITIES</w:t>
      </w:r>
    </w:p>
    <w:p>
      <w:r>
        <w:rPr>
          <w:b w:val="0"/>
          <w:i w:val="0"/>
        </w:rPr>
        <w:t>Defendant submits this corrected Table of Authorities in support of the attorney-review draft Motion for Early Termination of Supervised Release. This version adds USSG §5D1.4, corrects the Eleventh Circuit Johnson citation, and removes unsupported placeholder authority.</w:t>
      </w:r>
    </w:p>
    <w:p>
      <w:pPr>
        <w:pStyle w:val="Heading2"/>
        <w:jc w:val="left"/>
      </w:pPr>
      <w:r>
        <w:t>I. Statutes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Times New Roman" w:hAnsi="Times New Roman"/>
                <w:b/>
                <w:sz w:val="20"/>
              </w:rPr>
              <w:t>Authority</w:t>
            </w:r>
          </w:p>
        </w:tc>
        <w:tc>
          <w:tcPr>
            <w:tcW w:type="dxa" w:w="4680"/>
            <w:shd w:fill="D9EAF7"/>
          </w:tcPr>
          <w:p>
            <w:pPr>
              <w:spacing w:line="240" w:lineRule="auto" w:after="0"/>
            </w:pPr>
            <w:r>
              <w:rPr>
                <w:rFonts w:ascii="Times New Roman" w:hAnsi="Times New Roman"/>
                <w:b/>
                <w:sz w:val="20"/>
              </w:rPr>
              <w:t>Use</w:t>
            </w:r>
          </w:p>
        </w:tc>
      </w:tr>
      <w:tr>
        <w:tc>
          <w:tcPr>
            <w:tcW w:type="dxa" w:w="4680"/>
            <w:vAlign w:val="top"/>
          </w:tcPr>
          <w:p>
            <w:pPr>
              <w:spacing w:line="240" w:lineRule="auto" w:after="0"/>
            </w:pPr>
            <w:r>
              <w:rPr>
                <w:rFonts w:ascii="Times New Roman" w:hAnsi="Times New Roman"/>
                <w:sz w:val="20"/>
              </w:rPr>
              <w:t>18 U.S.C. § 3583(e)(1)</w:t>
            </w:r>
          </w:p>
        </w:tc>
        <w:tc>
          <w:tcPr>
            <w:tcW w:type="dxa" w:w="4680"/>
            <w:vAlign w:val="top"/>
          </w:tcPr>
          <w:p>
            <w:pPr>
              <w:spacing w:line="240" w:lineRule="auto" w:after="0"/>
            </w:pPr>
            <w:r>
              <w:rPr>
                <w:rFonts w:ascii="Times New Roman" w:hAnsi="Times New Roman"/>
                <w:sz w:val="20"/>
              </w:rPr>
              <w:t>Primary authority for early termination after one year when warranted by the defendant’s conduct and the interest of justice.</w:t>
            </w:r>
          </w:p>
        </w:tc>
      </w:tr>
      <w:tr>
        <w:tc>
          <w:tcPr>
            <w:tcW w:type="dxa" w:w="4680"/>
            <w:vAlign w:val="top"/>
          </w:tcPr>
          <w:p>
            <w:pPr>
              <w:spacing w:line="240" w:lineRule="auto" w:after="0"/>
            </w:pPr>
            <w:r>
              <w:rPr>
                <w:rFonts w:ascii="Times New Roman" w:hAnsi="Times New Roman"/>
                <w:sz w:val="20"/>
              </w:rPr>
              <w:t>18 U.S.C. § 3553(a)(1)</w:t>
            </w:r>
          </w:p>
        </w:tc>
        <w:tc>
          <w:tcPr>
            <w:tcW w:type="dxa" w:w="4680"/>
            <w:vAlign w:val="top"/>
          </w:tcPr>
          <w:p>
            <w:pPr>
              <w:spacing w:line="240" w:lineRule="auto" w:after="0"/>
            </w:pPr>
            <w:r>
              <w:rPr>
                <w:rFonts w:ascii="Times New Roman" w:hAnsi="Times New Roman"/>
                <w:sz w:val="20"/>
              </w:rPr>
              <w:t>Nature and circumstances of the offense; history and characteristics of Defendant.</w:t>
            </w:r>
          </w:p>
        </w:tc>
      </w:tr>
      <w:tr>
        <w:tc>
          <w:tcPr>
            <w:tcW w:type="dxa" w:w="4680"/>
            <w:vAlign w:val="top"/>
          </w:tcPr>
          <w:p>
            <w:pPr>
              <w:spacing w:line="240" w:lineRule="auto" w:after="0"/>
            </w:pPr>
            <w:r>
              <w:rPr>
                <w:rFonts w:ascii="Times New Roman" w:hAnsi="Times New Roman"/>
                <w:sz w:val="20"/>
              </w:rPr>
              <w:t>18 U.S.C. § 3553(a)(2)(B)</w:t>
            </w:r>
          </w:p>
        </w:tc>
        <w:tc>
          <w:tcPr>
            <w:tcW w:type="dxa" w:w="4680"/>
            <w:vAlign w:val="top"/>
          </w:tcPr>
          <w:p>
            <w:pPr>
              <w:spacing w:line="240" w:lineRule="auto" w:after="0"/>
            </w:pPr>
            <w:r>
              <w:rPr>
                <w:rFonts w:ascii="Times New Roman" w:hAnsi="Times New Roman"/>
                <w:sz w:val="20"/>
              </w:rPr>
              <w:t>Adequate deterrence.</w:t>
            </w:r>
          </w:p>
        </w:tc>
      </w:tr>
      <w:tr>
        <w:tc>
          <w:tcPr>
            <w:tcW w:type="dxa" w:w="4680"/>
            <w:vAlign w:val="top"/>
          </w:tcPr>
          <w:p>
            <w:pPr>
              <w:spacing w:line="240" w:lineRule="auto" w:after="0"/>
            </w:pPr>
            <w:r>
              <w:rPr>
                <w:rFonts w:ascii="Times New Roman" w:hAnsi="Times New Roman"/>
                <w:sz w:val="20"/>
              </w:rPr>
              <w:t>18 U.S.C. § 3553(a)(2)(C)</w:t>
            </w:r>
          </w:p>
        </w:tc>
        <w:tc>
          <w:tcPr>
            <w:tcW w:type="dxa" w:w="4680"/>
            <w:vAlign w:val="top"/>
          </w:tcPr>
          <w:p>
            <w:pPr>
              <w:spacing w:line="240" w:lineRule="auto" w:after="0"/>
            </w:pPr>
            <w:r>
              <w:rPr>
                <w:rFonts w:ascii="Times New Roman" w:hAnsi="Times New Roman"/>
                <w:sz w:val="20"/>
              </w:rPr>
              <w:t>Protection of the public.</w:t>
            </w:r>
          </w:p>
        </w:tc>
      </w:tr>
      <w:tr>
        <w:tc>
          <w:tcPr>
            <w:tcW w:type="dxa" w:w="4680"/>
            <w:vAlign w:val="top"/>
          </w:tcPr>
          <w:p>
            <w:pPr>
              <w:spacing w:line="240" w:lineRule="auto" w:after="0"/>
            </w:pPr>
            <w:r>
              <w:rPr>
                <w:rFonts w:ascii="Times New Roman" w:hAnsi="Times New Roman"/>
                <w:sz w:val="20"/>
              </w:rPr>
              <w:t>18 U.S.C. § 3553(a)(2)(D)</w:t>
            </w:r>
          </w:p>
        </w:tc>
        <w:tc>
          <w:tcPr>
            <w:tcW w:type="dxa" w:w="4680"/>
            <w:vAlign w:val="top"/>
          </w:tcPr>
          <w:p>
            <w:pPr>
              <w:spacing w:line="240" w:lineRule="auto" w:after="0"/>
            </w:pPr>
            <w:r>
              <w:rPr>
                <w:rFonts w:ascii="Times New Roman" w:hAnsi="Times New Roman"/>
                <w:sz w:val="20"/>
              </w:rPr>
              <w:t>Treatment, training, medical care, or other correctional support.</w:t>
            </w:r>
          </w:p>
        </w:tc>
      </w:tr>
      <w:tr>
        <w:tc>
          <w:tcPr>
            <w:tcW w:type="dxa" w:w="4680"/>
            <w:vAlign w:val="top"/>
          </w:tcPr>
          <w:p>
            <w:pPr>
              <w:spacing w:line="240" w:lineRule="auto" w:after="0"/>
            </w:pPr>
            <w:r>
              <w:rPr>
                <w:rFonts w:ascii="Times New Roman" w:hAnsi="Times New Roman"/>
                <w:sz w:val="20"/>
              </w:rPr>
              <w:t>18 U.S.C. § 3553(a)(4)-(7)</w:t>
            </w:r>
          </w:p>
        </w:tc>
        <w:tc>
          <w:tcPr>
            <w:tcW w:type="dxa" w:w="4680"/>
            <w:vAlign w:val="top"/>
          </w:tcPr>
          <w:p>
            <w:pPr>
              <w:spacing w:line="240" w:lineRule="auto" w:after="0"/>
            </w:pPr>
            <w:r>
              <w:rPr>
                <w:rFonts w:ascii="Times New Roman" w:hAnsi="Times New Roman"/>
                <w:sz w:val="20"/>
              </w:rPr>
              <w:t>Guidelines, policy statements, unwarranted disparities, restitution.</w:t>
            </w:r>
          </w:p>
        </w:tc>
      </w:tr>
    </w:tbl>
    <w:p>
      <w:pPr>
        <w:pStyle w:val="Heading2"/>
        <w:jc w:val="left"/>
      </w:pPr>
      <w:r>
        <w:t>II. United States Sentencing Guidelines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Times New Roman" w:hAnsi="Times New Roman"/>
                <w:b/>
                <w:sz w:val="20"/>
              </w:rPr>
              <w:t>Authority</w:t>
            </w:r>
          </w:p>
        </w:tc>
        <w:tc>
          <w:tcPr>
            <w:tcW w:type="dxa" w:w="4680"/>
            <w:shd w:fill="D9EAF7"/>
          </w:tcPr>
          <w:p>
            <w:pPr>
              <w:spacing w:line="240" w:lineRule="auto" w:after="0"/>
            </w:pPr>
            <w:r>
              <w:rPr>
                <w:rFonts w:ascii="Times New Roman" w:hAnsi="Times New Roman"/>
                <w:b/>
                <w:sz w:val="20"/>
              </w:rPr>
              <w:t>Use</w:t>
            </w:r>
          </w:p>
        </w:tc>
      </w:tr>
      <w:tr>
        <w:tc>
          <w:tcPr>
            <w:tcW w:type="dxa" w:w="4680"/>
            <w:vAlign w:val="top"/>
          </w:tcPr>
          <w:p>
            <w:pPr>
              <w:spacing w:line="240" w:lineRule="auto" w:after="0"/>
            </w:pPr>
            <w:r>
              <w:rPr>
                <w:rFonts w:ascii="Times New Roman" w:hAnsi="Times New Roman"/>
                <w:sz w:val="20"/>
              </w:rPr>
              <w:t>USSG §5D1.1</w:t>
            </w:r>
          </w:p>
        </w:tc>
        <w:tc>
          <w:tcPr>
            <w:tcW w:type="dxa" w:w="4680"/>
            <w:vAlign w:val="top"/>
          </w:tcPr>
          <w:p>
            <w:pPr>
              <w:spacing w:line="240" w:lineRule="auto" w:after="0"/>
            </w:pPr>
            <w:r>
              <w:rPr>
                <w:rFonts w:ascii="Times New Roman" w:hAnsi="Times New Roman"/>
                <w:sz w:val="20"/>
              </w:rPr>
              <w:t>Imposition of supervised release.</w:t>
            </w:r>
          </w:p>
        </w:tc>
      </w:tr>
      <w:tr>
        <w:tc>
          <w:tcPr>
            <w:tcW w:type="dxa" w:w="4680"/>
            <w:vAlign w:val="top"/>
          </w:tcPr>
          <w:p>
            <w:pPr>
              <w:spacing w:line="240" w:lineRule="auto" w:after="0"/>
            </w:pPr>
            <w:r>
              <w:rPr>
                <w:rFonts w:ascii="Times New Roman" w:hAnsi="Times New Roman"/>
                <w:sz w:val="20"/>
              </w:rPr>
              <w:t>USSG §5D1.2</w:t>
            </w:r>
          </w:p>
        </w:tc>
        <w:tc>
          <w:tcPr>
            <w:tcW w:type="dxa" w:w="4680"/>
            <w:vAlign w:val="top"/>
          </w:tcPr>
          <w:p>
            <w:pPr>
              <w:spacing w:line="240" w:lineRule="auto" w:after="0"/>
            </w:pPr>
            <w:r>
              <w:rPr>
                <w:rFonts w:ascii="Times New Roman" w:hAnsi="Times New Roman"/>
                <w:sz w:val="20"/>
              </w:rPr>
              <w:t>Term of supervised release.</w:t>
            </w:r>
          </w:p>
        </w:tc>
      </w:tr>
      <w:tr>
        <w:tc>
          <w:tcPr>
            <w:tcW w:type="dxa" w:w="4680"/>
            <w:vAlign w:val="top"/>
          </w:tcPr>
          <w:p>
            <w:pPr>
              <w:spacing w:line="240" w:lineRule="auto" w:after="0"/>
            </w:pPr>
            <w:r>
              <w:rPr>
                <w:rFonts w:ascii="Times New Roman" w:hAnsi="Times New Roman"/>
                <w:sz w:val="20"/>
              </w:rPr>
              <w:t>USSG §5D1.3</w:t>
            </w:r>
          </w:p>
        </w:tc>
        <w:tc>
          <w:tcPr>
            <w:tcW w:type="dxa" w:w="4680"/>
            <w:vAlign w:val="top"/>
          </w:tcPr>
          <w:p>
            <w:pPr>
              <w:spacing w:line="240" w:lineRule="auto" w:after="0"/>
            </w:pPr>
            <w:r>
              <w:rPr>
                <w:rFonts w:ascii="Times New Roman" w:hAnsi="Times New Roman"/>
                <w:sz w:val="20"/>
              </w:rPr>
              <w:t>Conditions of supervised release.</w:t>
            </w:r>
          </w:p>
        </w:tc>
      </w:tr>
      <w:tr>
        <w:tc>
          <w:tcPr>
            <w:tcW w:type="dxa" w:w="4680"/>
            <w:vAlign w:val="top"/>
          </w:tcPr>
          <w:p>
            <w:pPr>
              <w:spacing w:line="240" w:lineRule="auto" w:after="0"/>
            </w:pPr>
            <w:r>
              <w:rPr>
                <w:rFonts w:ascii="Times New Roman" w:hAnsi="Times New Roman"/>
                <w:sz w:val="20"/>
              </w:rPr>
              <w:t>USSG §5D1.4</w:t>
            </w:r>
          </w:p>
        </w:tc>
        <w:tc>
          <w:tcPr>
            <w:tcW w:type="dxa" w:w="4680"/>
            <w:vAlign w:val="top"/>
          </w:tcPr>
          <w:p>
            <w:pPr>
              <w:spacing w:line="240" w:lineRule="auto" w:after="0"/>
            </w:pPr>
            <w:r>
              <w:rPr>
                <w:rFonts w:ascii="Times New Roman" w:hAnsi="Times New Roman"/>
                <w:sz w:val="20"/>
              </w:rPr>
              <w:t>Modification, early termination, and extension of supervised release; individualized assessment of ongoing supervision need.</w:t>
            </w:r>
          </w:p>
        </w:tc>
      </w:tr>
      <w:tr>
        <w:tc>
          <w:tcPr>
            <w:tcW w:type="dxa" w:w="4680"/>
            <w:vAlign w:val="top"/>
          </w:tcPr>
          <w:p>
            <w:pPr>
              <w:spacing w:line="240" w:lineRule="auto" w:after="0"/>
            </w:pPr>
            <w:r>
              <w:rPr>
                <w:rFonts w:ascii="Times New Roman" w:hAnsi="Times New Roman"/>
                <w:sz w:val="20"/>
              </w:rPr>
              <w:t>USSG Chapter Seven</w:t>
            </w:r>
          </w:p>
        </w:tc>
        <w:tc>
          <w:tcPr>
            <w:tcW w:type="dxa" w:w="4680"/>
            <w:vAlign w:val="top"/>
          </w:tcPr>
          <w:p>
            <w:pPr>
              <w:spacing w:line="240" w:lineRule="auto" w:after="0"/>
            </w:pPr>
            <w:r>
              <w:rPr>
                <w:rFonts w:ascii="Times New Roman" w:hAnsi="Times New Roman"/>
                <w:sz w:val="20"/>
              </w:rPr>
              <w:t>Supervised-release modification/revocation framework where directly relevant.</w:t>
            </w:r>
          </w:p>
        </w:tc>
      </w:tr>
    </w:tbl>
    <w:p>
      <w:pPr>
        <w:pStyle w:val="Heading2"/>
        <w:jc w:val="left"/>
      </w:pPr>
      <w:r>
        <w:t>III. Supreme Court Authorities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Times New Roman" w:hAnsi="Times New Roman"/>
                <w:b/>
                <w:sz w:val="20"/>
              </w:rPr>
              <w:t>Authority</w:t>
            </w:r>
          </w:p>
        </w:tc>
        <w:tc>
          <w:tcPr>
            <w:tcW w:type="dxa" w:w="4680"/>
            <w:shd w:fill="D9EAF7"/>
          </w:tcPr>
          <w:p>
            <w:pPr>
              <w:spacing w:line="240" w:lineRule="auto" w:after="0"/>
            </w:pPr>
            <w:r>
              <w:rPr>
                <w:rFonts w:ascii="Times New Roman" w:hAnsi="Times New Roman"/>
                <w:b/>
                <w:sz w:val="20"/>
              </w:rPr>
              <w:t>Use</w:t>
            </w:r>
          </w:p>
        </w:tc>
      </w:tr>
      <w:tr>
        <w:tc>
          <w:tcPr>
            <w:tcW w:type="dxa" w:w="4680"/>
            <w:vAlign w:val="top"/>
          </w:tcPr>
          <w:p>
            <w:pPr>
              <w:spacing w:line="240" w:lineRule="auto" w:after="0"/>
            </w:pPr>
            <w:r>
              <w:rPr>
                <w:rFonts w:ascii="Times New Roman" w:hAnsi="Times New Roman"/>
                <w:sz w:val="20"/>
              </w:rPr>
              <w:t>United States v. Johnson, 529 U.S. 53 (2000)</w:t>
            </w:r>
          </w:p>
        </w:tc>
        <w:tc>
          <w:tcPr>
            <w:tcW w:type="dxa" w:w="4680"/>
            <w:vAlign w:val="top"/>
          </w:tcPr>
          <w:p>
            <w:pPr>
              <w:spacing w:line="240" w:lineRule="auto" w:after="0"/>
            </w:pPr>
            <w:r>
              <w:rPr>
                <w:rFonts w:ascii="Times New Roman" w:hAnsi="Times New Roman"/>
                <w:sz w:val="20"/>
              </w:rPr>
              <w:t>Supervised release serves rehabilitative ends distinct from incarceration.</w:t>
            </w:r>
          </w:p>
        </w:tc>
      </w:tr>
      <w:tr>
        <w:tc>
          <w:tcPr>
            <w:tcW w:type="dxa" w:w="4680"/>
            <w:vAlign w:val="top"/>
          </w:tcPr>
          <w:p>
            <w:pPr>
              <w:spacing w:line="240" w:lineRule="auto" w:after="0"/>
            </w:pPr>
            <w:r>
              <w:rPr>
                <w:rFonts w:ascii="Times New Roman" w:hAnsi="Times New Roman"/>
                <w:sz w:val="20"/>
              </w:rPr>
              <w:t>Pepper v. United States, 562 U.S. 476 (2011)</w:t>
            </w:r>
          </w:p>
        </w:tc>
        <w:tc>
          <w:tcPr>
            <w:tcW w:type="dxa" w:w="4680"/>
            <w:vAlign w:val="top"/>
          </w:tcPr>
          <w:p>
            <w:pPr>
              <w:spacing w:line="240" w:lineRule="auto" w:after="0"/>
            </w:pPr>
            <w:r>
              <w:rPr>
                <w:rFonts w:ascii="Times New Roman" w:hAnsi="Times New Roman"/>
                <w:sz w:val="20"/>
              </w:rPr>
              <w:t>Post-sentencing rehabilitation may be relevant to sentencing-factor analysis.</w:t>
            </w:r>
          </w:p>
        </w:tc>
      </w:tr>
      <w:tr>
        <w:tc>
          <w:tcPr>
            <w:tcW w:type="dxa" w:w="4680"/>
            <w:vAlign w:val="top"/>
          </w:tcPr>
          <w:p>
            <w:pPr>
              <w:spacing w:line="240" w:lineRule="auto" w:after="0"/>
            </w:pPr>
            <w:r>
              <w:rPr>
                <w:rFonts w:ascii="Times New Roman" w:hAnsi="Times New Roman"/>
                <w:sz w:val="20"/>
              </w:rPr>
              <w:t>Tapia v. United States, 564 U.S. 319 (2011)</w:t>
            </w:r>
          </w:p>
        </w:tc>
        <w:tc>
          <w:tcPr>
            <w:tcW w:type="dxa" w:w="4680"/>
            <w:vAlign w:val="top"/>
          </w:tcPr>
          <w:p>
            <w:pPr>
              <w:spacing w:line="240" w:lineRule="auto" w:after="0"/>
            </w:pPr>
            <w:r>
              <w:rPr>
                <w:rFonts w:ascii="Times New Roman" w:hAnsi="Times New Roman"/>
                <w:sz w:val="20"/>
              </w:rPr>
              <w:t>Distinction between punishment and rehabilitation.</w:t>
            </w:r>
          </w:p>
        </w:tc>
      </w:tr>
      <w:tr>
        <w:tc>
          <w:tcPr>
            <w:tcW w:type="dxa" w:w="4680"/>
            <w:vAlign w:val="top"/>
          </w:tcPr>
          <w:p>
            <w:pPr>
              <w:spacing w:line="240" w:lineRule="auto" w:after="0"/>
            </w:pPr>
            <w:r>
              <w:rPr>
                <w:rFonts w:ascii="Times New Roman" w:hAnsi="Times New Roman"/>
                <w:sz w:val="20"/>
              </w:rPr>
              <w:t>Gall v. United States, 552 U.S. 38 (2007)</w:t>
            </w:r>
          </w:p>
        </w:tc>
        <w:tc>
          <w:tcPr>
            <w:tcW w:type="dxa" w:w="4680"/>
            <w:vAlign w:val="top"/>
          </w:tcPr>
          <w:p>
            <w:pPr>
              <w:spacing w:line="240" w:lineRule="auto" w:after="0"/>
            </w:pPr>
            <w:r>
              <w:rPr>
                <w:rFonts w:ascii="Times New Roman" w:hAnsi="Times New Roman"/>
                <w:sz w:val="20"/>
              </w:rPr>
              <w:t>Individualized sentencing analysis and actual conduct.</w:t>
            </w:r>
          </w:p>
        </w:tc>
      </w:tr>
      <w:tr>
        <w:tc>
          <w:tcPr>
            <w:tcW w:type="dxa" w:w="4680"/>
            <w:vAlign w:val="top"/>
          </w:tcPr>
          <w:p>
            <w:pPr>
              <w:spacing w:line="240" w:lineRule="auto" w:after="0"/>
            </w:pPr>
            <w:r>
              <w:rPr>
                <w:rFonts w:ascii="Times New Roman" w:hAnsi="Times New Roman"/>
                <w:sz w:val="20"/>
              </w:rPr>
              <w:t>Rita v. United States, 551 U.S. 338 (2007)</w:t>
            </w:r>
          </w:p>
        </w:tc>
        <w:tc>
          <w:tcPr>
            <w:tcW w:type="dxa" w:w="4680"/>
            <w:vAlign w:val="top"/>
          </w:tcPr>
          <w:p>
            <w:pPr>
              <w:spacing w:line="240" w:lineRule="auto" w:after="0"/>
            </w:pPr>
            <w:r>
              <w:rPr>
                <w:rFonts w:ascii="Times New Roman" w:hAnsi="Times New Roman"/>
                <w:sz w:val="20"/>
              </w:rPr>
              <w:t>Reasoned explanation and record development.</w:t>
            </w:r>
          </w:p>
        </w:tc>
      </w:tr>
    </w:tbl>
    <w:p>
      <w:pPr>
        <w:pStyle w:val="Heading2"/>
        <w:jc w:val="left"/>
      </w:pPr>
      <w:r>
        <w:t>IV. Fourth Circuit Authorities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Times New Roman" w:hAnsi="Times New Roman"/>
                <w:b/>
                <w:sz w:val="20"/>
              </w:rPr>
              <w:t>Authority</w:t>
            </w:r>
          </w:p>
        </w:tc>
        <w:tc>
          <w:tcPr>
            <w:tcW w:type="dxa" w:w="4680"/>
            <w:shd w:fill="D9EAF7"/>
          </w:tcPr>
          <w:p>
            <w:pPr>
              <w:spacing w:line="240" w:lineRule="auto" w:after="0"/>
            </w:pPr>
            <w:r>
              <w:rPr>
                <w:rFonts w:ascii="Times New Roman" w:hAnsi="Times New Roman"/>
                <w:b/>
                <w:sz w:val="20"/>
              </w:rPr>
              <w:t>Use</w:t>
            </w:r>
          </w:p>
        </w:tc>
      </w:tr>
      <w:tr>
        <w:tc>
          <w:tcPr>
            <w:tcW w:type="dxa" w:w="4680"/>
            <w:vAlign w:val="top"/>
          </w:tcPr>
          <w:p>
            <w:pPr>
              <w:spacing w:line="240" w:lineRule="auto" w:after="0"/>
            </w:pPr>
            <w:r>
              <w:rPr>
                <w:rFonts w:ascii="Times New Roman" w:hAnsi="Times New Roman"/>
                <w:sz w:val="20"/>
              </w:rPr>
              <w:t>United States v. Pregent, 190 F.3d 279 (4th Cir. 1999)</w:t>
            </w:r>
          </w:p>
        </w:tc>
        <w:tc>
          <w:tcPr>
            <w:tcW w:type="dxa" w:w="4680"/>
            <w:vAlign w:val="top"/>
          </w:tcPr>
          <w:p>
            <w:pPr>
              <w:spacing w:line="240" w:lineRule="auto" w:after="0"/>
            </w:pPr>
            <w:r>
              <w:rPr>
                <w:rFonts w:ascii="Times New Roman" w:hAnsi="Times New Roman"/>
                <w:sz w:val="20"/>
              </w:rPr>
              <w:t>Principal Fourth Circuit §3583(e)(1) authority; conduct and interest-of-justice framework; no collateral attack through early termination.</w:t>
            </w:r>
          </w:p>
        </w:tc>
      </w:tr>
      <w:tr>
        <w:tc>
          <w:tcPr>
            <w:tcW w:type="dxa" w:w="4680"/>
            <w:vAlign w:val="top"/>
          </w:tcPr>
          <w:p>
            <w:pPr>
              <w:spacing w:line="240" w:lineRule="auto" w:after="0"/>
            </w:pPr>
            <w:r>
              <w:rPr>
                <w:rFonts w:ascii="Times New Roman" w:hAnsi="Times New Roman"/>
                <w:sz w:val="20"/>
              </w:rPr>
              <w:t>United States v. Webb, 738 F.3d 638 (4th Cir. 2013)</w:t>
            </w:r>
          </w:p>
        </w:tc>
        <w:tc>
          <w:tcPr>
            <w:tcW w:type="dxa" w:w="4680"/>
            <w:vAlign w:val="top"/>
          </w:tcPr>
          <w:p>
            <w:pPr>
              <w:spacing w:line="240" w:lineRule="auto" w:after="0"/>
            </w:pPr>
            <w:r>
              <w:rPr>
                <w:rFonts w:ascii="Times New Roman" w:hAnsi="Times New Roman"/>
                <w:sz w:val="20"/>
              </w:rPr>
              <w:t>§3583(e) factor-selection framework.</w:t>
            </w:r>
          </w:p>
        </w:tc>
      </w:tr>
      <w:tr>
        <w:tc>
          <w:tcPr>
            <w:tcW w:type="dxa" w:w="4680"/>
            <w:vAlign w:val="top"/>
          </w:tcPr>
          <w:p>
            <w:pPr>
              <w:spacing w:line="240" w:lineRule="auto" w:after="0"/>
            </w:pPr>
            <w:r>
              <w:rPr>
                <w:rFonts w:ascii="Times New Roman" w:hAnsi="Times New Roman"/>
                <w:sz w:val="20"/>
              </w:rPr>
              <w:t>United States v. McLeod, 972 F.3d 637 (4th Cir. 2020)</w:t>
            </w:r>
          </w:p>
        </w:tc>
        <w:tc>
          <w:tcPr>
            <w:tcW w:type="dxa" w:w="4680"/>
            <w:vAlign w:val="top"/>
          </w:tcPr>
          <w:p>
            <w:pPr>
              <w:spacing w:line="240" w:lineRule="auto" w:after="0"/>
            </w:pPr>
            <w:r>
              <w:rPr>
                <w:rFonts w:ascii="Times New Roman" w:hAnsi="Times New Roman"/>
                <w:sz w:val="20"/>
              </w:rPr>
              <w:t>Supervised-release modification framework; collateral-attack limits.</w:t>
            </w:r>
          </w:p>
        </w:tc>
      </w:tr>
      <w:tr>
        <w:tc>
          <w:tcPr>
            <w:tcW w:type="dxa" w:w="4680"/>
            <w:vAlign w:val="top"/>
          </w:tcPr>
          <w:p>
            <w:pPr>
              <w:spacing w:line="240" w:lineRule="auto" w:after="0"/>
            </w:pPr>
            <w:r>
              <w:rPr>
                <w:rFonts w:ascii="Times New Roman" w:hAnsi="Times New Roman"/>
                <w:sz w:val="20"/>
              </w:rPr>
              <w:t>United States v. Crudup, 461 F.3d 433 (4th Cir. 2006)</w:t>
            </w:r>
          </w:p>
        </w:tc>
        <w:tc>
          <w:tcPr>
            <w:tcW w:type="dxa" w:w="4680"/>
            <w:vAlign w:val="top"/>
          </w:tcPr>
          <w:p>
            <w:pPr>
              <w:spacing w:line="240" w:lineRule="auto" w:after="0"/>
            </w:pPr>
            <w:r>
              <w:rPr>
                <w:rFonts w:ascii="Times New Roman" w:hAnsi="Times New Roman"/>
                <w:sz w:val="20"/>
              </w:rPr>
              <w:t>Supervised-release statutory framework.</w:t>
            </w:r>
          </w:p>
        </w:tc>
      </w:tr>
      <w:tr>
        <w:tc>
          <w:tcPr>
            <w:tcW w:type="dxa" w:w="4680"/>
            <w:vAlign w:val="top"/>
          </w:tcPr>
          <w:p>
            <w:pPr>
              <w:spacing w:line="240" w:lineRule="auto" w:after="0"/>
            </w:pPr>
            <w:r>
              <w:rPr>
                <w:rFonts w:ascii="Times New Roman" w:hAnsi="Times New Roman"/>
                <w:sz w:val="20"/>
              </w:rPr>
              <w:t>United States v. Thompson, 595 F.3d 544 (4th Cir. 2010)</w:t>
            </w:r>
          </w:p>
        </w:tc>
        <w:tc>
          <w:tcPr>
            <w:tcW w:type="dxa" w:w="4680"/>
            <w:vAlign w:val="top"/>
          </w:tcPr>
          <w:p>
            <w:pPr>
              <w:spacing w:line="240" w:lineRule="auto" w:after="0"/>
            </w:pPr>
            <w:r>
              <w:rPr>
                <w:rFonts w:ascii="Times New Roman" w:hAnsi="Times New Roman"/>
                <w:sz w:val="20"/>
              </w:rPr>
              <w:t>Reasoned decision and explanation principles in supervised-release proceedings.</w:t>
            </w:r>
          </w:p>
        </w:tc>
      </w:tr>
      <w:tr>
        <w:tc>
          <w:tcPr>
            <w:tcW w:type="dxa" w:w="4680"/>
            <w:vAlign w:val="top"/>
          </w:tcPr>
          <w:p>
            <w:pPr>
              <w:spacing w:line="240" w:lineRule="auto" w:after="0"/>
            </w:pPr>
            <w:r>
              <w:rPr>
                <w:rFonts w:ascii="Times New Roman" w:hAnsi="Times New Roman"/>
                <w:sz w:val="20"/>
              </w:rPr>
              <w:t>United States v. Slappy, 872 F.3d 202 (4th Cir. 2017)</w:t>
            </w:r>
          </w:p>
        </w:tc>
        <w:tc>
          <w:tcPr>
            <w:tcW w:type="dxa" w:w="4680"/>
            <w:vAlign w:val="top"/>
          </w:tcPr>
          <w:p>
            <w:pPr>
              <w:spacing w:line="240" w:lineRule="auto" w:after="0"/>
            </w:pPr>
            <w:r>
              <w:rPr>
                <w:rFonts w:ascii="Times New Roman" w:hAnsi="Times New Roman"/>
                <w:sz w:val="20"/>
              </w:rPr>
              <w:t>Consideration of nonfrivolous arguments in supervised-release proceedings.</w:t>
            </w:r>
          </w:p>
        </w:tc>
      </w:tr>
    </w:tbl>
    <w:p>
      <w:pPr>
        <w:pStyle w:val="Heading2"/>
        <w:jc w:val="left"/>
      </w:pPr>
      <w:r>
        <w:t>V. Eleventh Circuit Persuasive Authorities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Times New Roman" w:hAnsi="Times New Roman"/>
                <w:b/>
                <w:sz w:val="20"/>
              </w:rPr>
              <w:t>Authority</w:t>
            </w:r>
          </w:p>
        </w:tc>
        <w:tc>
          <w:tcPr>
            <w:tcW w:type="dxa" w:w="4680"/>
            <w:shd w:fill="D9EAF7"/>
          </w:tcPr>
          <w:p>
            <w:pPr>
              <w:spacing w:line="240" w:lineRule="auto" w:after="0"/>
            </w:pPr>
            <w:r>
              <w:rPr>
                <w:rFonts w:ascii="Times New Roman" w:hAnsi="Times New Roman"/>
                <w:b/>
                <w:sz w:val="20"/>
              </w:rPr>
              <w:t>Use</w:t>
            </w:r>
          </w:p>
        </w:tc>
      </w:tr>
      <w:tr>
        <w:tc>
          <w:tcPr>
            <w:tcW w:type="dxa" w:w="4680"/>
            <w:vAlign w:val="top"/>
          </w:tcPr>
          <w:p>
            <w:pPr>
              <w:spacing w:line="240" w:lineRule="auto" w:after="0"/>
            </w:pPr>
            <w:r>
              <w:rPr>
                <w:rFonts w:ascii="Times New Roman" w:hAnsi="Times New Roman"/>
                <w:sz w:val="20"/>
              </w:rPr>
              <w:t>United States v. Johnson, 877 F.3d 993 (11th Cir. 2017)</w:t>
            </w:r>
          </w:p>
        </w:tc>
        <w:tc>
          <w:tcPr>
            <w:tcW w:type="dxa" w:w="4680"/>
            <w:vAlign w:val="top"/>
          </w:tcPr>
          <w:p>
            <w:pPr>
              <w:spacing w:line="240" w:lineRule="auto" w:after="0"/>
            </w:pPr>
            <w:r>
              <w:rPr>
                <w:rFonts w:ascii="Times New Roman" w:hAnsi="Times New Roman"/>
                <w:sz w:val="20"/>
              </w:rPr>
              <w:t>Persuasive only; record/order should show consideration of pertinent §3553(a) factors in early-termination decisions.</w:t>
            </w:r>
          </w:p>
        </w:tc>
      </w:tr>
      <w:tr>
        <w:tc>
          <w:tcPr>
            <w:tcW w:type="dxa" w:w="4680"/>
            <w:vAlign w:val="top"/>
          </w:tcPr>
          <w:p>
            <w:pPr>
              <w:spacing w:line="240" w:lineRule="auto" w:after="0"/>
            </w:pPr>
            <w:r>
              <w:rPr>
                <w:rFonts w:ascii="Times New Roman" w:hAnsi="Times New Roman"/>
                <w:sz w:val="20"/>
              </w:rPr>
              <w:t>United States v. Nash, 438 F.3d 1302 (11th Cir. 2006)</w:t>
            </w:r>
          </w:p>
        </w:tc>
        <w:tc>
          <w:tcPr>
            <w:tcW w:type="dxa" w:w="4680"/>
            <w:vAlign w:val="top"/>
          </w:tcPr>
          <w:p>
            <w:pPr>
              <w:spacing w:line="240" w:lineRule="auto" w:after="0"/>
            </w:pPr>
            <w:r>
              <w:rPr>
                <w:rFonts w:ascii="Times New Roman" w:hAnsi="Times New Roman"/>
                <w:sz w:val="20"/>
              </w:rPr>
              <w:t>Limited probation-administration/delegation authority.</w:t>
            </w:r>
          </w:p>
        </w:tc>
      </w:tr>
      <w:tr>
        <w:tc>
          <w:tcPr>
            <w:tcW w:type="dxa" w:w="4680"/>
            <w:vAlign w:val="top"/>
          </w:tcPr>
          <w:p>
            <w:pPr>
              <w:spacing w:line="240" w:lineRule="auto" w:after="0"/>
            </w:pPr>
            <w:r>
              <w:rPr>
                <w:rFonts w:ascii="Times New Roman" w:hAnsi="Times New Roman"/>
                <w:sz w:val="20"/>
              </w:rPr>
              <w:t>United States v. Heath, 419 F.3d 1312 (11th Cir. 2005)</w:t>
            </w:r>
          </w:p>
        </w:tc>
        <w:tc>
          <w:tcPr>
            <w:tcW w:type="dxa" w:w="4680"/>
            <w:vAlign w:val="top"/>
          </w:tcPr>
          <w:p>
            <w:pPr>
              <w:spacing w:line="240" w:lineRule="auto" w:after="0"/>
            </w:pPr>
            <w:r>
              <w:rPr>
                <w:rFonts w:ascii="Times New Roman" w:hAnsi="Times New Roman"/>
                <w:sz w:val="20"/>
              </w:rPr>
              <w:t>Limited delegation and court/probation role-separation authority.</w:t>
            </w:r>
          </w:p>
        </w:tc>
      </w:tr>
      <w:tr>
        <w:tc>
          <w:tcPr>
            <w:tcW w:type="dxa" w:w="4680"/>
            <w:vAlign w:val="top"/>
          </w:tcPr>
          <w:p>
            <w:pPr>
              <w:spacing w:line="240" w:lineRule="auto" w:after="0"/>
            </w:pPr>
            <w:r>
              <w:rPr>
                <w:rFonts w:ascii="Times New Roman" w:hAnsi="Times New Roman"/>
                <w:sz w:val="20"/>
              </w:rPr>
              <w:t>United States v. Zinn, 321 F.3d 1084 (11th Cir. 2003)</w:t>
            </w:r>
          </w:p>
        </w:tc>
        <w:tc>
          <w:tcPr>
            <w:tcW w:type="dxa" w:w="4680"/>
            <w:vAlign w:val="top"/>
          </w:tcPr>
          <w:p>
            <w:pPr>
              <w:spacing w:line="240" w:lineRule="auto" w:after="0"/>
            </w:pPr>
            <w:r>
              <w:rPr>
                <w:rFonts w:ascii="Times New Roman" w:hAnsi="Times New Roman"/>
                <w:sz w:val="20"/>
              </w:rPr>
              <w:t>Limited probation-role and supervision-administration framework.</w:t>
            </w:r>
          </w:p>
        </w:tc>
      </w:tr>
      <w:tr>
        <w:tc>
          <w:tcPr>
            <w:tcW w:type="dxa" w:w="4680"/>
            <w:vAlign w:val="top"/>
          </w:tcPr>
          <w:p>
            <w:pPr>
              <w:spacing w:line="240" w:lineRule="auto" w:after="0"/>
            </w:pPr>
            <w:r>
              <w:rPr>
                <w:rFonts w:ascii="Times New Roman" w:hAnsi="Times New Roman"/>
                <w:sz w:val="20"/>
              </w:rPr>
              <w:t>United States v. Taylor, 338 F.3d 1280 (11th Cir. 2003)</w:t>
            </w:r>
          </w:p>
        </w:tc>
        <w:tc>
          <w:tcPr>
            <w:tcW w:type="dxa" w:w="4680"/>
            <w:vAlign w:val="top"/>
          </w:tcPr>
          <w:p>
            <w:pPr>
              <w:spacing w:line="240" w:lineRule="auto" w:after="0"/>
            </w:pPr>
            <w:r>
              <w:rPr>
                <w:rFonts w:ascii="Times New Roman" w:hAnsi="Times New Roman"/>
                <w:sz w:val="20"/>
              </w:rPr>
              <w:t>Limited supervision-administration/delegation framework.</w:t>
            </w:r>
          </w:p>
        </w:tc>
      </w:tr>
    </w:tbl>
    <w:p>
      <w:r>
        <w:rPr>
          <w:b w:val="0"/>
          <w:i w:val="0"/>
        </w:rPr>
        <w:t>Respectfully submitted,</w:t>
      </w:r>
    </w:p>
    <w:p>
      <w:r>
        <w:rPr>
          <w:b/>
          <w:i w:val="0"/>
        </w:rPr>
        <w:t>[Counsel signature required before filing]</w:t>
      </w:r>
    </w:p>
    <w:p>
      <w:r>
        <w:rPr>
          <w:b w:val="0"/>
          <w:i w:val="0"/>
        </w:rPr>
        <w:t>Thomas C. Manning</w:t>
      </w:r>
    </w:p>
    <w:p>
      <w:r>
        <w:rPr>
          <w:b w:val="0"/>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Text line: (919) 801-3267</w:t>
      </w:r>
    </w:p>
    <w:p>
      <w:r>
        <w:rPr>
          <w:b w:val="0"/>
          <w:i w:val="0"/>
        </w:rPr>
        <w:t>Email: [Counsel email address to be verified before filing]</w:t>
      </w:r>
    </w:p>
    <w:p>
      <w:r>
        <w:rPr>
          <w:b w:val="0"/>
          <w:i w:val="0"/>
        </w:rPr>
        <w:t>Counsel for Defendant William Scott Davis, Jr., if adopted and signed by counsel</w:t>
      </w:r>
    </w:p>
    <w:p>
      <w:r>
        <w:br w:type="page"/>
      </w:r>
    </w:p>
    <w:p>
      <w:pPr>
        <w:jc w:val="center"/>
      </w:pPr>
      <w:r>
        <w:rPr>
          <w:b/>
        </w:rPr>
        <w:t>UNITED STATES DISTRICT COURT</w:t>
      </w:r>
    </w:p>
    <w:p>
      <w:pPr>
        <w:jc w:val="center"/>
      </w:pPr>
      <w:r>
        <w:rPr>
          <w:b/>
        </w:rPr>
        <w:t>EASTERN DISTRICT OF NORTH CAROLINA</w:t>
      </w:r>
    </w:p>
    <w:p>
      <w:pPr>
        <w:jc w:val="center"/>
      </w:pPr>
      <w:r>
        <w:rPr>
          <w:b/>
        </w:rPr>
        <w:t>WESTERN DIVISION</w:t>
      </w:r>
    </w:p>
    <w:p>
      <w:pPr>
        <w:jc w:val="left"/>
      </w:pPr>
      <w:r/>
    </w:p>
    <w:p>
      <w:pPr>
        <w:jc w:val="left"/>
      </w:pPr>
      <w:r>
        <w:t>UNITED STATES OF AMERICA,</w:t>
      </w:r>
    </w:p>
    <w:p>
      <w:pPr>
        <w:jc w:val="left"/>
      </w:pPr>
      <w:r>
        <w:t>Plaintiff,</w:t>
      </w:r>
    </w:p>
    <w:p>
      <w:pPr>
        <w:jc w:val="left"/>
      </w:pPr>
      <w:r/>
    </w:p>
    <w:p>
      <w:pPr>
        <w:jc w:val="left"/>
      </w:pPr>
      <w:r>
        <w:t>v.</w:t>
      </w:r>
    </w:p>
    <w:p>
      <w:pPr>
        <w:jc w:val="left"/>
      </w:pPr>
      <w:r/>
    </w:p>
    <w:p>
      <w:pPr>
        <w:jc w:val="left"/>
      </w:pPr>
      <w:r>
        <w:t>WILLIAM SCOTT DAVIS, JR.,</w:t>
      </w:r>
    </w:p>
    <w:p>
      <w:pPr>
        <w:jc w:val="left"/>
      </w:pPr>
      <w:r>
        <w:t>Defendant.</w:t>
      </w:r>
    </w:p>
    <w:p>
      <w:pPr>
        <w:jc w:val="left"/>
      </w:pPr>
      <w:r/>
    </w:p>
    <w:p>
      <w:pPr>
        <w:jc w:val="center"/>
      </w:pPr>
      <w:r>
        <w:t>Case No. 5:14-cr-240-D</w:t>
      </w:r>
    </w:p>
    <w:p>
      <w:pPr>
        <w:jc w:val="center"/>
      </w:pPr>
      <w:r>
        <w:rPr>
          <w:b/>
          <w:sz w:val="24"/>
        </w:rPr>
        <w:t>CORRECTED EXHIBIT INDEX IN SUPPORT OF ATTORNEY-REVIEW DRAFT MOTION FOR EARLY TERMINATION OF SUPERVISED RELEASE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7"/>
          </w:tcPr>
          <w:p>
            <w:pPr>
              <w:spacing w:line="240" w:lineRule="auto" w:after="0"/>
            </w:pPr>
            <w:r>
              <w:rPr>
                <w:rFonts w:ascii="Times New Roman" w:hAnsi="Times New Roman"/>
                <w:b/>
                <w:sz w:val="20"/>
              </w:rPr>
              <w:t>Exhibit</w:t>
            </w:r>
          </w:p>
        </w:tc>
        <w:tc>
          <w:tcPr>
            <w:tcW w:type="dxa" w:w="3120"/>
            <w:shd w:fill="D9EAF7"/>
          </w:tcPr>
          <w:p>
            <w:pPr>
              <w:spacing w:line="240" w:lineRule="auto" w:after="0"/>
            </w:pPr>
            <w:r>
              <w:rPr>
                <w:rFonts w:ascii="Times New Roman" w:hAnsi="Times New Roman"/>
                <w:b/>
                <w:sz w:val="20"/>
              </w:rPr>
              <w:t>Description</w:t>
            </w:r>
          </w:p>
        </w:tc>
        <w:tc>
          <w:tcPr>
            <w:tcW w:type="dxa" w:w="3120"/>
            <w:shd w:fill="D9EAF7"/>
          </w:tcPr>
          <w:p>
            <w:pPr>
              <w:spacing w:line="240" w:lineRule="auto" w:after="0"/>
            </w:pPr>
            <w:r>
              <w:rPr>
                <w:rFonts w:ascii="Times New Roman" w:hAnsi="Times New Roman"/>
                <w:b/>
                <w:sz w:val="20"/>
              </w:rPr>
              <w:t>Purpose</w:t>
            </w:r>
          </w:p>
        </w:tc>
      </w:tr>
      <w:tr>
        <w:tc>
          <w:tcPr>
            <w:tcW w:type="dxa" w:w="3120"/>
            <w:vAlign w:val="top"/>
          </w:tcPr>
          <w:p>
            <w:pPr>
              <w:spacing w:line="240" w:lineRule="auto" w:after="0"/>
            </w:pPr>
            <w:r>
              <w:rPr>
                <w:rFonts w:ascii="Times New Roman" w:hAnsi="Times New Roman"/>
                <w:sz w:val="20"/>
              </w:rPr>
              <w:t>Exhibit A</w:t>
            </w:r>
          </w:p>
        </w:tc>
        <w:tc>
          <w:tcPr>
            <w:tcW w:type="dxa" w:w="3120"/>
            <w:vAlign w:val="top"/>
          </w:tcPr>
          <w:p>
            <w:pPr>
              <w:spacing w:line="240" w:lineRule="auto" w:after="0"/>
            </w:pPr>
            <w:r>
              <w:rPr>
                <w:rFonts w:ascii="Times New Roman" w:hAnsi="Times New Roman"/>
                <w:sz w:val="20"/>
              </w:rPr>
              <w:t>Judgment / relevant judgment extract in United States v. Davis, No. 5:14-cr-240-D</w:t>
            </w:r>
          </w:p>
        </w:tc>
        <w:tc>
          <w:tcPr>
            <w:tcW w:type="dxa" w:w="3120"/>
            <w:vAlign w:val="top"/>
          </w:tcPr>
          <w:p>
            <w:pPr>
              <w:spacing w:line="240" w:lineRule="auto" w:after="0"/>
            </w:pPr>
            <w:r>
              <w:rPr>
                <w:rFonts w:ascii="Times New Roman" w:hAnsi="Times New Roman"/>
                <w:sz w:val="20"/>
              </w:rPr>
              <w:t>Confirms case identity, sentence, supervised-release term, special assessment, restitution, and judgment terms.</w:t>
            </w:r>
          </w:p>
        </w:tc>
      </w:tr>
      <w:tr>
        <w:tc>
          <w:tcPr>
            <w:tcW w:type="dxa" w:w="3120"/>
            <w:vAlign w:val="top"/>
          </w:tcPr>
          <w:p>
            <w:pPr>
              <w:spacing w:line="240" w:lineRule="auto" w:after="0"/>
            </w:pPr>
            <w:r>
              <w:rPr>
                <w:rFonts w:ascii="Times New Roman" w:hAnsi="Times New Roman"/>
                <w:sz w:val="20"/>
              </w:rPr>
              <w:t>Exhibit B</w:t>
            </w:r>
          </w:p>
        </w:tc>
        <w:tc>
          <w:tcPr>
            <w:tcW w:type="dxa" w:w="3120"/>
            <w:vAlign w:val="top"/>
          </w:tcPr>
          <w:p>
            <w:pPr>
              <w:spacing w:line="240" w:lineRule="auto" w:after="0"/>
            </w:pPr>
            <w:r>
              <w:rPr>
                <w:rFonts w:ascii="Times New Roman" w:hAnsi="Times New Roman"/>
                <w:sz w:val="20"/>
              </w:rPr>
              <w:t>Release-date confirmation showing release on or about May 10, 2024</w:t>
            </w:r>
          </w:p>
        </w:tc>
        <w:tc>
          <w:tcPr>
            <w:tcW w:type="dxa" w:w="3120"/>
            <w:vAlign w:val="top"/>
          </w:tcPr>
          <w:p>
            <w:pPr>
              <w:spacing w:line="240" w:lineRule="auto" w:after="0"/>
            </w:pPr>
            <w:r>
              <w:rPr>
                <w:rFonts w:ascii="Times New Roman" w:hAnsi="Times New Roman"/>
                <w:sz w:val="20"/>
              </w:rPr>
              <w:t>Establishes completion of more than one year of supervised release.</w:t>
            </w:r>
          </w:p>
        </w:tc>
      </w:tr>
      <w:tr>
        <w:tc>
          <w:tcPr>
            <w:tcW w:type="dxa" w:w="3120"/>
            <w:vAlign w:val="top"/>
          </w:tcPr>
          <w:p>
            <w:pPr>
              <w:spacing w:line="240" w:lineRule="auto" w:after="0"/>
            </w:pPr>
            <w:r>
              <w:rPr>
                <w:rFonts w:ascii="Times New Roman" w:hAnsi="Times New Roman"/>
                <w:sz w:val="20"/>
              </w:rPr>
              <w:t>Exhibit C</w:t>
            </w:r>
          </w:p>
        </w:tc>
        <w:tc>
          <w:tcPr>
            <w:tcW w:type="dxa" w:w="3120"/>
            <w:vAlign w:val="top"/>
          </w:tcPr>
          <w:p>
            <w:pPr>
              <w:spacing w:line="240" w:lineRule="auto" w:after="0"/>
            </w:pPr>
            <w:r>
              <w:rPr>
                <w:rFonts w:ascii="Times New Roman" w:hAnsi="Times New Roman"/>
                <w:sz w:val="20"/>
              </w:rPr>
              <w:t>Probation compliance record, supervision-status record, or officer verification</w:t>
            </w:r>
          </w:p>
        </w:tc>
        <w:tc>
          <w:tcPr>
            <w:tcW w:type="dxa" w:w="3120"/>
            <w:vAlign w:val="top"/>
          </w:tcPr>
          <w:p>
            <w:pPr>
              <w:spacing w:line="240" w:lineRule="auto" w:after="0"/>
            </w:pPr>
            <w:r>
              <w:rPr>
                <w:rFonts w:ascii="Times New Roman" w:hAnsi="Times New Roman"/>
                <w:sz w:val="20"/>
              </w:rPr>
              <w:t>Supports compliance, absence of violation conduct, and successful supervision performance.</w:t>
            </w:r>
          </w:p>
        </w:tc>
      </w:tr>
      <w:tr>
        <w:tc>
          <w:tcPr>
            <w:tcW w:type="dxa" w:w="3120"/>
            <w:vAlign w:val="top"/>
          </w:tcPr>
          <w:p>
            <w:pPr>
              <w:spacing w:line="240" w:lineRule="auto" w:after="0"/>
            </w:pPr>
            <w:r>
              <w:rPr>
                <w:rFonts w:ascii="Times New Roman" w:hAnsi="Times New Roman"/>
                <w:sz w:val="20"/>
              </w:rPr>
              <w:t>Exhibit D</w:t>
            </w:r>
          </w:p>
        </w:tc>
        <w:tc>
          <w:tcPr>
            <w:tcW w:type="dxa" w:w="3120"/>
            <w:vAlign w:val="top"/>
          </w:tcPr>
          <w:p>
            <w:pPr>
              <w:spacing w:line="240" w:lineRule="auto" w:after="0"/>
            </w:pPr>
            <w:r>
              <w:rPr>
                <w:rFonts w:ascii="Times New Roman" w:hAnsi="Times New Roman"/>
                <w:sz w:val="20"/>
              </w:rPr>
              <w:t>Payment confirmation for restitution, special assessment, and financial obligations</w:t>
            </w:r>
          </w:p>
        </w:tc>
        <w:tc>
          <w:tcPr>
            <w:tcW w:type="dxa" w:w="3120"/>
            <w:vAlign w:val="top"/>
          </w:tcPr>
          <w:p>
            <w:pPr>
              <w:spacing w:line="240" w:lineRule="auto" w:after="0"/>
            </w:pPr>
            <w:r>
              <w:rPr>
                <w:rFonts w:ascii="Times New Roman" w:hAnsi="Times New Roman"/>
                <w:sz w:val="20"/>
              </w:rPr>
              <w:t>Supports argument that supervision is not needed for financial-obligation enforcement.</w:t>
            </w:r>
          </w:p>
        </w:tc>
      </w:tr>
      <w:tr>
        <w:tc>
          <w:tcPr>
            <w:tcW w:type="dxa" w:w="3120"/>
            <w:vAlign w:val="top"/>
          </w:tcPr>
          <w:p>
            <w:pPr>
              <w:spacing w:line="240" w:lineRule="auto" w:after="0"/>
            </w:pPr>
            <w:r>
              <w:rPr>
                <w:rFonts w:ascii="Times New Roman" w:hAnsi="Times New Roman"/>
                <w:sz w:val="20"/>
              </w:rPr>
              <w:t>Exhibit E</w:t>
            </w:r>
          </w:p>
        </w:tc>
        <w:tc>
          <w:tcPr>
            <w:tcW w:type="dxa" w:w="3120"/>
            <w:vAlign w:val="top"/>
          </w:tcPr>
          <w:p>
            <w:pPr>
              <w:spacing w:line="240" w:lineRule="auto" w:after="0"/>
            </w:pPr>
            <w:r>
              <w:rPr>
                <w:rFonts w:ascii="Times New Roman" w:hAnsi="Times New Roman"/>
                <w:sz w:val="20"/>
              </w:rPr>
              <w:t>Social Security Disability / SSDI documentation</w:t>
            </w:r>
          </w:p>
        </w:tc>
        <w:tc>
          <w:tcPr>
            <w:tcW w:type="dxa" w:w="3120"/>
            <w:vAlign w:val="top"/>
          </w:tcPr>
          <w:p>
            <w:pPr>
              <w:spacing w:line="240" w:lineRule="auto" w:after="0"/>
            </w:pPr>
            <w:r>
              <w:rPr>
                <w:rFonts w:ascii="Times New Roman" w:hAnsi="Times New Roman"/>
                <w:sz w:val="20"/>
              </w:rPr>
              <w:t>Supports disability-status and stable-income showing.</w:t>
            </w:r>
          </w:p>
        </w:tc>
      </w:tr>
      <w:tr>
        <w:tc>
          <w:tcPr>
            <w:tcW w:type="dxa" w:w="3120"/>
            <w:vAlign w:val="top"/>
          </w:tcPr>
          <w:p>
            <w:pPr>
              <w:spacing w:line="240" w:lineRule="auto" w:after="0"/>
            </w:pPr>
            <w:r>
              <w:rPr>
                <w:rFonts w:ascii="Times New Roman" w:hAnsi="Times New Roman"/>
                <w:sz w:val="20"/>
              </w:rPr>
              <w:t>Exhibit F</w:t>
            </w:r>
          </w:p>
        </w:tc>
        <w:tc>
          <w:tcPr>
            <w:tcW w:type="dxa" w:w="3120"/>
            <w:vAlign w:val="top"/>
          </w:tcPr>
          <w:p>
            <w:pPr>
              <w:spacing w:line="240" w:lineRule="auto" w:after="0"/>
            </w:pPr>
            <w:r>
              <w:rPr>
                <w:rFonts w:ascii="Times New Roman" w:hAnsi="Times New Roman"/>
                <w:sz w:val="20"/>
              </w:rPr>
              <w:t>Age / identity documentation confirming Defendant is 65 years old</w:t>
            </w:r>
          </w:p>
        </w:tc>
        <w:tc>
          <w:tcPr>
            <w:tcW w:type="dxa" w:w="3120"/>
            <w:vAlign w:val="top"/>
          </w:tcPr>
          <w:p>
            <w:pPr>
              <w:spacing w:line="240" w:lineRule="auto" w:after="0"/>
            </w:pPr>
            <w:r>
              <w:rPr>
                <w:rFonts w:ascii="Times New Roman" w:hAnsi="Times New Roman"/>
                <w:sz w:val="20"/>
              </w:rPr>
              <w:t>Supports history-and-characteristics and reduced-risk analysis.</w:t>
            </w:r>
          </w:p>
        </w:tc>
      </w:tr>
      <w:tr>
        <w:tc>
          <w:tcPr>
            <w:tcW w:type="dxa" w:w="3120"/>
            <w:vAlign w:val="top"/>
          </w:tcPr>
          <w:p>
            <w:pPr>
              <w:spacing w:line="240" w:lineRule="auto" w:after="0"/>
            </w:pPr>
            <w:r>
              <w:rPr>
                <w:rFonts w:ascii="Times New Roman" w:hAnsi="Times New Roman"/>
                <w:sz w:val="20"/>
              </w:rPr>
              <w:t>Exhibit G</w:t>
            </w:r>
          </w:p>
        </w:tc>
        <w:tc>
          <w:tcPr>
            <w:tcW w:type="dxa" w:w="3120"/>
            <w:vAlign w:val="top"/>
          </w:tcPr>
          <w:p>
            <w:pPr>
              <w:spacing w:line="240" w:lineRule="auto" w:after="0"/>
            </w:pPr>
            <w:r>
              <w:rPr>
                <w:rFonts w:ascii="Times New Roman" w:hAnsi="Times New Roman"/>
                <w:sz w:val="20"/>
              </w:rPr>
              <w:t>Residence-stability documentation</w:t>
            </w:r>
          </w:p>
        </w:tc>
        <w:tc>
          <w:tcPr>
            <w:tcW w:type="dxa" w:w="3120"/>
            <w:vAlign w:val="top"/>
          </w:tcPr>
          <w:p>
            <w:pPr>
              <w:spacing w:line="240" w:lineRule="auto" w:after="0"/>
            </w:pPr>
            <w:r>
              <w:rPr>
                <w:rFonts w:ascii="Times New Roman" w:hAnsi="Times New Roman"/>
                <w:sz w:val="20"/>
              </w:rPr>
              <w:t>Supports stable reintegration and self-management.</w:t>
            </w:r>
          </w:p>
        </w:tc>
      </w:tr>
      <w:tr>
        <w:tc>
          <w:tcPr>
            <w:tcW w:type="dxa" w:w="3120"/>
            <w:vAlign w:val="top"/>
          </w:tcPr>
          <w:p>
            <w:pPr>
              <w:spacing w:line="240" w:lineRule="auto" w:after="0"/>
            </w:pPr>
            <w:r>
              <w:rPr>
                <w:rFonts w:ascii="Times New Roman" w:hAnsi="Times New Roman"/>
                <w:sz w:val="20"/>
              </w:rPr>
              <w:t>Exhibit H</w:t>
            </w:r>
          </w:p>
        </w:tc>
        <w:tc>
          <w:tcPr>
            <w:tcW w:type="dxa" w:w="3120"/>
            <w:vAlign w:val="top"/>
          </w:tcPr>
          <w:p>
            <w:pPr>
              <w:spacing w:line="240" w:lineRule="auto" w:after="0"/>
            </w:pPr>
            <w:r>
              <w:rPr>
                <w:rFonts w:ascii="Times New Roman" w:hAnsi="Times New Roman"/>
                <w:sz w:val="20"/>
              </w:rPr>
              <w:t>Treatment completion, treatment-status, mental-health status, or no-current-treatment-need documentation</w:t>
            </w:r>
          </w:p>
        </w:tc>
        <w:tc>
          <w:tcPr>
            <w:tcW w:type="dxa" w:w="3120"/>
            <w:vAlign w:val="top"/>
          </w:tcPr>
          <w:p>
            <w:pPr>
              <w:spacing w:line="240" w:lineRule="auto" w:after="0"/>
            </w:pPr>
            <w:r>
              <w:rPr>
                <w:rFonts w:ascii="Times New Roman" w:hAnsi="Times New Roman"/>
                <w:sz w:val="20"/>
              </w:rPr>
              <w:t>Supports lack of remaining supervision utility.</w:t>
            </w:r>
          </w:p>
        </w:tc>
      </w:tr>
      <w:tr>
        <w:tc>
          <w:tcPr>
            <w:tcW w:type="dxa" w:w="3120"/>
            <w:vAlign w:val="top"/>
          </w:tcPr>
          <w:p>
            <w:pPr>
              <w:spacing w:line="240" w:lineRule="auto" w:after="0"/>
            </w:pPr>
            <w:r>
              <w:rPr>
                <w:rFonts w:ascii="Times New Roman" w:hAnsi="Times New Roman"/>
                <w:sz w:val="20"/>
              </w:rPr>
              <w:t>Exhibit I</w:t>
            </w:r>
          </w:p>
        </w:tc>
        <w:tc>
          <w:tcPr>
            <w:tcW w:type="dxa" w:w="3120"/>
            <w:vAlign w:val="top"/>
          </w:tcPr>
          <w:p>
            <w:pPr>
              <w:spacing w:line="240" w:lineRule="auto" w:after="0"/>
            </w:pPr>
            <w:r>
              <w:rPr>
                <w:rFonts w:ascii="Times New Roman" w:hAnsi="Times New Roman"/>
                <w:sz w:val="20"/>
              </w:rPr>
              <w:t>U.S. Probation Office no-objection, support letter, status report, or position statement</w:t>
            </w:r>
          </w:p>
        </w:tc>
        <w:tc>
          <w:tcPr>
            <w:tcW w:type="dxa" w:w="3120"/>
            <w:vAlign w:val="top"/>
          </w:tcPr>
          <w:p>
            <w:pPr>
              <w:spacing w:line="240" w:lineRule="auto" w:after="0"/>
            </w:pPr>
            <w:r>
              <w:rPr>
                <w:rFonts w:ascii="Times New Roman" w:hAnsi="Times New Roman"/>
                <w:sz w:val="20"/>
              </w:rPr>
              <w:t>Supports termination based on supervising-office assessment.</w:t>
            </w:r>
          </w:p>
        </w:tc>
      </w:tr>
      <w:tr>
        <w:tc>
          <w:tcPr>
            <w:tcW w:type="dxa" w:w="3120"/>
            <w:vAlign w:val="top"/>
          </w:tcPr>
          <w:p>
            <w:pPr>
              <w:spacing w:line="240" w:lineRule="auto" w:after="0"/>
            </w:pPr>
            <w:r>
              <w:rPr>
                <w:rFonts w:ascii="Times New Roman" w:hAnsi="Times New Roman"/>
                <w:sz w:val="20"/>
              </w:rPr>
              <w:t>Exhibit J</w:t>
            </w:r>
          </w:p>
        </w:tc>
        <w:tc>
          <w:tcPr>
            <w:tcW w:type="dxa" w:w="3120"/>
            <w:vAlign w:val="top"/>
          </w:tcPr>
          <w:p>
            <w:pPr>
              <w:spacing w:line="240" w:lineRule="auto" w:after="0"/>
            </w:pPr>
            <w:r>
              <w:rPr>
                <w:rFonts w:ascii="Times New Roman" w:hAnsi="Times New Roman"/>
                <w:sz w:val="20"/>
              </w:rPr>
              <w:t>United States Attorney’s Office no-objection or position statement</w:t>
            </w:r>
          </w:p>
        </w:tc>
        <w:tc>
          <w:tcPr>
            <w:tcW w:type="dxa" w:w="3120"/>
            <w:vAlign w:val="top"/>
          </w:tcPr>
          <w:p>
            <w:pPr>
              <w:spacing w:line="240" w:lineRule="auto" w:after="0"/>
            </w:pPr>
            <w:r>
              <w:rPr>
                <w:rFonts w:ascii="Times New Roman" w:hAnsi="Times New Roman"/>
                <w:sz w:val="20"/>
              </w:rPr>
              <w:t>Supports termination on public-safety and Government-position grounds.</w:t>
            </w:r>
          </w:p>
        </w:tc>
      </w:tr>
      <w:tr>
        <w:tc>
          <w:tcPr>
            <w:tcW w:type="dxa" w:w="3120"/>
            <w:vAlign w:val="top"/>
          </w:tcPr>
          <w:p>
            <w:pPr>
              <w:spacing w:line="240" w:lineRule="auto" w:after="0"/>
            </w:pPr>
            <w:r>
              <w:rPr>
                <w:rFonts w:ascii="Times New Roman" w:hAnsi="Times New Roman"/>
                <w:sz w:val="20"/>
              </w:rPr>
              <w:t>Exhibit K</w:t>
            </w:r>
          </w:p>
        </w:tc>
        <w:tc>
          <w:tcPr>
            <w:tcW w:type="dxa" w:w="3120"/>
            <w:vAlign w:val="top"/>
          </w:tcPr>
          <w:p>
            <w:pPr>
              <w:spacing w:line="240" w:lineRule="auto" w:after="0"/>
            </w:pPr>
            <w:r>
              <w:rPr>
                <w:rFonts w:ascii="Times New Roman" w:hAnsi="Times New Roman"/>
                <w:sz w:val="20"/>
              </w:rPr>
              <w:t>France relocation/support-plan documentation, if counsel chooses to rely on it</w:t>
            </w:r>
          </w:p>
        </w:tc>
        <w:tc>
          <w:tcPr>
            <w:tcW w:type="dxa" w:w="3120"/>
            <w:vAlign w:val="top"/>
          </w:tcPr>
          <w:p>
            <w:pPr>
              <w:spacing w:line="240" w:lineRule="auto" w:after="0"/>
            </w:pPr>
            <w:r>
              <w:rPr>
                <w:rFonts w:ascii="Times New Roman" w:hAnsi="Times New Roman"/>
                <w:sz w:val="20"/>
              </w:rPr>
              <w:t>Supports prosocial support, residence planning, care planning, and lawful self-management under USSG §5D1.4 factors.</w:t>
            </w:r>
          </w:p>
        </w:tc>
      </w:tr>
    </w:tbl>
    <w:p>
      <w:r>
        <w:rPr>
          <w:b w:val="0"/>
          <w:i w:val="0"/>
        </w:rPr>
        <w:t>No exhibit should be represented as attached unless physically included in the actual filing packet. If an exhibit is unavailable at filing, the index should be revised or the motion should request leave to supplement.</w:t>
      </w:r>
    </w:p>
    <w:p>
      <w:r>
        <w:rPr>
          <w:b w:val="0"/>
          <w:i w:val="0"/>
        </w:rPr>
        <w:t>Respectfully submitted,</w:t>
      </w:r>
    </w:p>
    <w:p>
      <w:r>
        <w:rPr>
          <w:b/>
          <w:i w:val="0"/>
        </w:rPr>
        <w:t>[Counsel signature required before filing]</w:t>
      </w:r>
    </w:p>
    <w:p>
      <w:r>
        <w:rPr>
          <w:b w:val="0"/>
          <w:i w:val="0"/>
        </w:rPr>
        <w:t>Thomas C. Manning</w:t>
      </w:r>
    </w:p>
    <w:p>
      <w:r>
        <w:rPr>
          <w:b w:val="0"/>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Text line: (919) 801-3267</w:t>
      </w:r>
    </w:p>
    <w:p>
      <w:r>
        <w:rPr>
          <w:b w:val="0"/>
          <w:i w:val="0"/>
        </w:rPr>
        <w:t>Email: [Counsel email address to be verified before filing]</w:t>
      </w:r>
    </w:p>
    <w:p>
      <w:r>
        <w:rPr>
          <w:b w:val="0"/>
          <w:i w:val="0"/>
        </w:rPr>
        <w:t>Counsel for Defendant William Scott Davis, Jr., if adopted and signed by counsel</w:t>
      </w:r>
    </w:p>
    <w:p>
      <w:r>
        <w:br w:type="page"/>
      </w:r>
    </w:p>
    <w:p>
      <w:pPr>
        <w:jc w:val="center"/>
      </w:pPr>
      <w:r>
        <w:rPr>
          <w:b/>
        </w:rPr>
        <w:t>UNITED STATES DISTRICT COURT</w:t>
      </w:r>
    </w:p>
    <w:p>
      <w:pPr>
        <w:jc w:val="center"/>
      </w:pPr>
      <w:r>
        <w:rPr>
          <w:b/>
        </w:rPr>
        <w:t>EASTERN DISTRICT OF NORTH CAROLINA</w:t>
      </w:r>
    </w:p>
    <w:p>
      <w:pPr>
        <w:jc w:val="center"/>
      </w:pPr>
      <w:r>
        <w:rPr>
          <w:b/>
        </w:rPr>
        <w:t>WESTERN DIVISION</w:t>
      </w:r>
    </w:p>
    <w:p>
      <w:pPr>
        <w:jc w:val="left"/>
      </w:pPr>
      <w:r/>
    </w:p>
    <w:p>
      <w:pPr>
        <w:jc w:val="left"/>
      </w:pPr>
      <w:r>
        <w:t>UNITED STATES OF AMERICA,</w:t>
      </w:r>
    </w:p>
    <w:p>
      <w:pPr>
        <w:jc w:val="left"/>
      </w:pPr>
      <w:r>
        <w:t>Plaintiff,</w:t>
      </w:r>
    </w:p>
    <w:p>
      <w:pPr>
        <w:jc w:val="left"/>
      </w:pPr>
      <w:r/>
    </w:p>
    <w:p>
      <w:pPr>
        <w:jc w:val="left"/>
      </w:pPr>
      <w:r>
        <w:t>v.</w:t>
      </w:r>
    </w:p>
    <w:p>
      <w:pPr>
        <w:jc w:val="left"/>
      </w:pPr>
      <w:r/>
    </w:p>
    <w:p>
      <w:pPr>
        <w:jc w:val="left"/>
      </w:pPr>
      <w:r>
        <w:t>WILLIAM SCOTT DAVIS, JR.,</w:t>
      </w:r>
    </w:p>
    <w:p>
      <w:pPr>
        <w:jc w:val="left"/>
      </w:pPr>
      <w:r>
        <w:t>Defendant.</w:t>
      </w:r>
    </w:p>
    <w:p>
      <w:pPr>
        <w:jc w:val="left"/>
      </w:pPr>
      <w:r/>
    </w:p>
    <w:p>
      <w:pPr>
        <w:jc w:val="center"/>
      </w:pPr>
      <w:r>
        <w:t>Case No. 5:14-cr-240-D</w:t>
      </w:r>
    </w:p>
    <w:p>
      <w:pPr>
        <w:jc w:val="center"/>
      </w:pPr>
      <w:r>
        <w:rPr>
          <w:b/>
          <w:sz w:val="24"/>
        </w:rPr>
        <w:t>[PROPOSED] ORDER GRANTING DEFENDANT’S MOTION FOR EARLY TERMINATION OF SUPERVISED RELEASE</w:t>
      </w:r>
    </w:p>
    <w:p>
      <w:r>
        <w:rPr>
          <w:b w:val="0"/>
          <w:i w:val="0"/>
        </w:rPr>
        <w:t>THIS MATTER comes before the Court on Defendant William Scott Davis, Jr.’s Motion for Early Termination of Supervised Release pursuant to 18 U.S.C. § 3583(e)(1).</w:t>
      </w:r>
    </w:p>
    <w:p>
      <w:r>
        <w:rPr>
          <w:b w:val="0"/>
          <w:i w:val="0"/>
        </w:rPr>
        <w:t>The Court has considered the Motion, supporting Memorandum, exhibit record, applicable statutory factors, USSG §5D1.4, the purposes of supervised release, and any position submitted by the United States Probation Office and the United States Attorney’s Office.</w:t>
      </w:r>
    </w:p>
    <w:p>
      <w:r>
        <w:rPr>
          <w:b w:val="0"/>
          <w:i w:val="0"/>
        </w:rPr>
        <w:t>The Court finds that Defendant has completed more than one year of supervised release and therefore satisfies the threshold timing requirement under § 3583(e)(1).</w:t>
      </w:r>
    </w:p>
    <w:p>
      <w:r>
        <w:rPr>
          <w:b w:val="0"/>
          <w:i w:val="0"/>
        </w:rPr>
        <w:t>The Court further finds that termination is warranted after an individualized assessment of the need for ongoing supervision. Defendant’s showing is not limited to mere compliance. The Court has considered Defendant’s conduct, age, disability status, stability, supervision performance, absence of violation conduct, ability to lawfully self-manage, lack of identified continuing correctional need, and present risk.</w:t>
      </w:r>
    </w:p>
    <w:p>
      <w:r>
        <w:rPr>
          <w:b w:val="0"/>
          <w:i w:val="0"/>
        </w:rPr>
        <w:t>The Court has considered the applicable § 3553(a) factors incorporated by § 3583(e), including the nature and circumstances of the offense, Defendant’s history and characteristics, deterrence, protection of the public, treatment or correctional needs, Guidelines and policy statements, unwarranted disparities, and restitution.</w:t>
      </w:r>
    </w:p>
    <w:p>
      <w:r>
        <w:rPr>
          <w:b w:val="0"/>
          <w:i w:val="0"/>
        </w:rPr>
        <w:t>The Court does not minimize the seriousness of the underlying offense. The Court finds, however, that the original sentence addressed the original offense and that continued supervision is no longer necessary on the present record.</w:t>
      </w:r>
    </w:p>
    <w:p>
      <w:r>
        <w:rPr>
          <w:b w:val="0"/>
          <w:i w:val="0"/>
        </w:rPr>
        <w:t>The Court further finds that continued supervision is not necessary to provide additional deterrence, protect the public, provide treatment or correctional support, enforce financial obligations, or advance rehabilitation.</w:t>
      </w:r>
    </w:p>
    <w:p>
      <w:r>
        <w:rPr>
          <w:b w:val="0"/>
          <w:i w:val="0"/>
        </w:rPr>
        <w:t>The Court concludes that early termination is warranted by Defendant’s conduct and the interest of justice.</w:t>
      </w:r>
    </w:p>
    <w:p>
      <w:pPr>
        <w:pStyle w:val="Heading2"/>
        <w:jc w:val="left"/>
      </w:pPr>
      <w:r>
        <w:t>ORDER</w:t>
      </w:r>
    </w:p>
    <w:p>
      <w:r>
        <w:rPr>
          <w:b w:val="0"/>
          <w:i w:val="0"/>
        </w:rPr>
        <w:t>IT IS THEREFORE ORDERED that Defendant’s Motion for Early Termination of Supervised Release is GRANTED.</w:t>
      </w:r>
    </w:p>
    <w:p>
      <w:r>
        <w:rPr>
          <w:b w:val="0"/>
          <w:i w:val="0"/>
        </w:rPr>
        <w:t>IT IS FURTHER ORDERED that the remaining term of supervised release imposed on Defendant William Scott Davis, Jr. in United States v. Davis, No. 5:14-cr-240-D, is TERMINATED.</w:t>
      </w:r>
    </w:p>
    <w:p>
      <w:r>
        <w:rPr>
          <w:b w:val="0"/>
          <w:i w:val="0"/>
        </w:rPr>
        <w:t>IT IS FURTHER ORDERED that Defendant is discharged from further supervision in this matter.</w:t>
      </w:r>
    </w:p>
    <w:p>
      <w:r>
        <w:rPr>
          <w:b w:val="0"/>
          <w:i w:val="0"/>
        </w:rPr>
        <w:t>SO ORDERED.</w:t>
      </w:r>
    </w:p>
    <w:p>
      <w:r>
        <w:rPr>
          <w:b w:val="0"/>
          <w:i w:val="0"/>
        </w:rPr>
        <w:t>This ____ day of __________________, 2026.</w:t>
      </w:r>
    </w:p>
    <w:p>
      <w:r>
        <w:rPr>
          <w:b w:val="0"/>
          <w:i w:val="0"/>
        </w:rPr>
        <w:br/>
        <w:t>__________________________________</w:t>
        <w:br/>
        <w:t>JAMES C. DEVER III</w:t>
        <w:br/>
        <w:t>United States District Judge</w:t>
      </w:r>
    </w:p>
    <w:p>
      <w:r>
        <w:br w:type="page"/>
      </w:r>
    </w:p>
    <w:p>
      <w:pPr>
        <w:jc w:val="center"/>
      </w:pPr>
      <w:r>
        <w:rPr>
          <w:b/>
        </w:rPr>
        <w:t>UNITED STATES DISTRICT COURT</w:t>
      </w:r>
    </w:p>
    <w:p>
      <w:pPr>
        <w:jc w:val="center"/>
      </w:pPr>
      <w:r>
        <w:rPr>
          <w:b/>
        </w:rPr>
        <w:t>EASTERN DISTRICT OF NORTH CAROLINA</w:t>
      </w:r>
    </w:p>
    <w:p>
      <w:pPr>
        <w:jc w:val="center"/>
      </w:pPr>
      <w:r>
        <w:rPr>
          <w:b/>
        </w:rPr>
        <w:t>WESTERN DIVISION</w:t>
      </w:r>
    </w:p>
    <w:p>
      <w:pPr>
        <w:jc w:val="left"/>
      </w:pPr>
      <w:r/>
    </w:p>
    <w:p>
      <w:pPr>
        <w:jc w:val="left"/>
      </w:pPr>
      <w:r>
        <w:t>UNITED STATES OF AMERICA,</w:t>
      </w:r>
    </w:p>
    <w:p>
      <w:pPr>
        <w:jc w:val="left"/>
      </w:pPr>
      <w:r>
        <w:t>Plaintiff,</w:t>
      </w:r>
    </w:p>
    <w:p>
      <w:pPr>
        <w:jc w:val="left"/>
      </w:pPr>
      <w:r/>
    </w:p>
    <w:p>
      <w:pPr>
        <w:jc w:val="left"/>
      </w:pPr>
      <w:r>
        <w:t>v.</w:t>
      </w:r>
    </w:p>
    <w:p>
      <w:pPr>
        <w:jc w:val="left"/>
      </w:pPr>
      <w:r/>
    </w:p>
    <w:p>
      <w:pPr>
        <w:jc w:val="left"/>
      </w:pPr>
      <w:r>
        <w:t>WILLIAM SCOTT DAVIS, JR.,</w:t>
      </w:r>
    </w:p>
    <w:p>
      <w:pPr>
        <w:jc w:val="left"/>
      </w:pPr>
      <w:r>
        <w:t>Defendant.</w:t>
      </w:r>
    </w:p>
    <w:p>
      <w:pPr>
        <w:jc w:val="left"/>
      </w:pPr>
      <w:r/>
    </w:p>
    <w:p>
      <w:pPr>
        <w:jc w:val="center"/>
      </w:pPr>
      <w:r>
        <w:t>Case No. 5:14-cr-240-D</w:t>
      </w:r>
    </w:p>
    <w:p>
      <w:pPr>
        <w:jc w:val="center"/>
      </w:pPr>
      <w:r>
        <w:rPr>
          <w:b/>
          <w:sz w:val="24"/>
        </w:rPr>
        <w:t>CORRECTED CERTIFICATE OF SERVICE</w:t>
      </w:r>
    </w:p>
    <w:p>
      <w:r>
        <w:rPr>
          <w:b w:val="0"/>
          <w:i w:val="0"/>
        </w:rPr>
        <w:t>I hereby certify that on this ____ day of __________________, 2026, a true and correct copy of the following documents was served:</w:t>
      </w:r>
    </w:p>
    <w:p>
      <w:pPr>
        <w:pStyle w:val="ListBullet"/>
        <w:spacing w:line="276" w:lineRule="auto"/>
      </w:pPr>
      <w:r>
        <w:t>Attorney-Review Draft Motion and Petition for Early Termination of Supervised Release Pursuant to 18 U.S.C. § 3583(e)(1);</w:t>
      </w:r>
    </w:p>
    <w:p>
      <w:pPr>
        <w:pStyle w:val="ListBullet"/>
        <w:spacing w:line="276" w:lineRule="auto"/>
      </w:pPr>
      <w:r>
        <w:t>Memorandum of Law in Support;</w:t>
      </w:r>
    </w:p>
    <w:p>
      <w:pPr>
        <w:pStyle w:val="ListBullet"/>
        <w:spacing w:line="276" w:lineRule="auto"/>
      </w:pPr>
      <w:r>
        <w:t>Authority-Controlled Table of Authorities;</w:t>
      </w:r>
    </w:p>
    <w:p>
      <w:pPr>
        <w:pStyle w:val="ListBullet"/>
        <w:spacing w:line="276" w:lineRule="auto"/>
      </w:pPr>
      <w:r>
        <w:t>Exhibit Index and any attached exhibits;</w:t>
      </w:r>
    </w:p>
    <w:p>
      <w:pPr>
        <w:pStyle w:val="ListBullet"/>
        <w:spacing w:line="276" w:lineRule="auto"/>
      </w:pPr>
      <w:r>
        <w:t>[Proposed] Order;</w:t>
      </w:r>
    </w:p>
    <w:p>
      <w:pPr>
        <w:pStyle w:val="ListBullet"/>
        <w:spacing w:line="276" w:lineRule="auto"/>
      </w:pPr>
      <w:r>
        <w:t>this Certificate of Service.</w:t>
      </w:r>
    </w:p>
    <w:p>
      <w:r>
        <w:rPr>
          <w:b w:val="0"/>
          <w:i w:val="0"/>
        </w:rPr>
        <w:t>Service was made by United States Mail, postage prepaid, or by another method permitted by the Court, addressed as follows: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7"/>
          </w:tcPr>
          <w:p>
            <w:pPr>
              <w:spacing w:line="240" w:lineRule="auto" w:after="0"/>
            </w:pPr>
            <w:r>
              <w:rPr>
                <w:rFonts w:ascii="Times New Roman" w:hAnsi="Times New Roman"/>
                <w:b/>
                <w:sz w:val="20"/>
              </w:rPr>
              <w:t>Recipient</w:t>
            </w:r>
          </w:p>
        </w:tc>
        <w:tc>
          <w:tcPr>
            <w:tcW w:type="dxa" w:w="3120"/>
            <w:shd w:fill="D9EAF7"/>
          </w:tcPr>
          <w:p>
            <w:pPr>
              <w:spacing w:line="240" w:lineRule="auto" w:after="0"/>
            </w:pPr>
            <w:r>
              <w:rPr>
                <w:rFonts w:ascii="Times New Roman" w:hAnsi="Times New Roman"/>
                <w:b/>
                <w:sz w:val="20"/>
              </w:rPr>
              <w:t>Address</w:t>
            </w:r>
          </w:p>
        </w:tc>
        <w:tc>
          <w:tcPr>
            <w:tcW w:type="dxa" w:w="3120"/>
            <w:shd w:fill="D9EAF7"/>
          </w:tcPr>
          <w:p>
            <w:pPr>
              <w:spacing w:line="240" w:lineRule="auto" w:after="0"/>
            </w:pPr>
            <w:r>
              <w:rPr>
                <w:rFonts w:ascii="Times New Roman" w:hAnsi="Times New Roman"/>
                <w:b/>
                <w:sz w:val="20"/>
              </w:rPr>
              <w:t>Purpose</w:t>
            </w:r>
          </w:p>
        </w:tc>
      </w:tr>
      <w:tr>
        <w:tc>
          <w:tcPr>
            <w:tcW w:type="dxa" w:w="3120"/>
            <w:vAlign w:val="top"/>
          </w:tcPr>
          <w:p>
            <w:pPr>
              <w:spacing w:line="240" w:lineRule="auto" w:after="0"/>
            </w:pPr>
            <w:r>
              <w:rPr>
                <w:rFonts w:ascii="Times New Roman" w:hAnsi="Times New Roman"/>
                <w:sz w:val="20"/>
              </w:rPr>
              <w:t>Clerk of Court, EDNC</w:t>
            </w:r>
          </w:p>
        </w:tc>
        <w:tc>
          <w:tcPr>
            <w:tcW w:type="dxa" w:w="3120"/>
            <w:vAlign w:val="top"/>
          </w:tcPr>
          <w:p>
            <w:pPr>
              <w:spacing w:line="240" w:lineRule="auto" w:after="0"/>
            </w:pPr>
            <w:r>
              <w:rPr>
                <w:rFonts w:ascii="Times New Roman" w:hAnsi="Times New Roman"/>
                <w:sz w:val="20"/>
              </w:rPr>
              <w:t>Peter A. Moore, Jr., Clerk of Court, PO Box 25670, Raleigh, NC 27611</w:t>
            </w:r>
          </w:p>
        </w:tc>
        <w:tc>
          <w:tcPr>
            <w:tcW w:type="dxa" w:w="3120"/>
            <w:vAlign w:val="top"/>
          </w:tcPr>
          <w:p>
            <w:pPr>
              <w:spacing w:line="240" w:lineRule="auto" w:after="0"/>
            </w:pPr>
            <w:r>
              <w:rPr>
                <w:rFonts w:ascii="Times New Roman" w:hAnsi="Times New Roman"/>
                <w:sz w:val="20"/>
              </w:rPr>
              <w:t>Filing with the Court.</w:t>
            </w:r>
          </w:p>
        </w:tc>
      </w:tr>
      <w:tr>
        <w:tc>
          <w:tcPr>
            <w:tcW w:type="dxa" w:w="3120"/>
            <w:vAlign w:val="top"/>
          </w:tcPr>
          <w:p>
            <w:pPr>
              <w:spacing w:line="240" w:lineRule="auto" w:after="0"/>
            </w:pPr>
            <w:r>
              <w:rPr>
                <w:rFonts w:ascii="Times New Roman" w:hAnsi="Times New Roman"/>
                <w:sz w:val="20"/>
              </w:rPr>
              <w:t>Office of the United States Attorney, EDNC</w:t>
            </w:r>
          </w:p>
        </w:tc>
        <w:tc>
          <w:tcPr>
            <w:tcW w:type="dxa" w:w="3120"/>
            <w:vAlign w:val="top"/>
          </w:tcPr>
          <w:p>
            <w:pPr>
              <w:spacing w:line="240" w:lineRule="auto" w:after="0"/>
            </w:pPr>
            <w:r>
              <w:rPr>
                <w:rFonts w:ascii="Times New Roman" w:hAnsi="Times New Roman"/>
                <w:sz w:val="20"/>
              </w:rPr>
              <w:t>150 Fayetteville Street, Suite 2100, Raleigh, North Carolina 27601</w:t>
            </w:r>
          </w:p>
        </w:tc>
        <w:tc>
          <w:tcPr>
            <w:tcW w:type="dxa" w:w="3120"/>
            <w:vAlign w:val="top"/>
          </w:tcPr>
          <w:p>
            <w:pPr>
              <w:spacing w:line="240" w:lineRule="auto" w:after="0"/>
            </w:pPr>
            <w:r>
              <w:rPr>
                <w:rFonts w:ascii="Times New Roman" w:hAnsi="Times New Roman"/>
                <w:sz w:val="20"/>
              </w:rPr>
              <w:t>Service on the United States.</w:t>
            </w:r>
          </w:p>
        </w:tc>
      </w:tr>
      <w:tr>
        <w:tc>
          <w:tcPr>
            <w:tcW w:type="dxa" w:w="3120"/>
            <w:vAlign w:val="top"/>
          </w:tcPr>
          <w:p>
            <w:pPr>
              <w:spacing w:line="240" w:lineRule="auto" w:after="0"/>
            </w:pPr>
            <w:r>
              <w:rPr>
                <w:rFonts w:ascii="Times New Roman" w:hAnsi="Times New Roman"/>
                <w:sz w:val="20"/>
              </w:rPr>
              <w:t>United States Probation Office, Northern District of Georgia</w:t>
            </w:r>
          </w:p>
        </w:tc>
        <w:tc>
          <w:tcPr>
            <w:tcW w:type="dxa" w:w="3120"/>
            <w:vAlign w:val="top"/>
          </w:tcPr>
          <w:p>
            <w:pPr>
              <w:spacing w:line="240" w:lineRule="auto" w:after="0"/>
            </w:pPr>
            <w:r>
              <w:rPr>
                <w:rFonts w:ascii="Times New Roman" w:hAnsi="Times New Roman"/>
                <w:sz w:val="20"/>
              </w:rPr>
              <w:t>Richard B. Russell Federal Building and United States Courthouse, 75 Ted Turner Drive SW, Suite 900, Atlanta, Georgia 30303</w:t>
            </w:r>
          </w:p>
        </w:tc>
        <w:tc>
          <w:tcPr>
            <w:tcW w:type="dxa" w:w="3120"/>
            <w:vAlign w:val="top"/>
          </w:tcPr>
          <w:p>
            <w:pPr>
              <w:spacing w:line="240" w:lineRule="auto" w:after="0"/>
            </w:pPr>
            <w:r>
              <w:rPr>
                <w:rFonts w:ascii="Times New Roman" w:hAnsi="Times New Roman"/>
                <w:sz w:val="20"/>
              </w:rPr>
              <w:t>Courtesy/review copy for supervising Probation Office / Officer Ashley N. Brimmer.</w:t>
            </w:r>
          </w:p>
        </w:tc>
      </w:tr>
      <w:tr>
        <w:tc>
          <w:tcPr>
            <w:tcW w:type="dxa" w:w="3120"/>
            <w:vAlign w:val="top"/>
          </w:tcPr>
          <w:p>
            <w:pPr>
              <w:spacing w:line="240" w:lineRule="auto" w:after="0"/>
            </w:pPr>
            <w:r>
              <w:rPr>
                <w:rFonts w:ascii="Times New Roman" w:hAnsi="Times New Roman"/>
                <w:sz w:val="20"/>
              </w:rPr>
              <w:t>Judge Dever Case Manager Courtesy Copy</w:t>
            </w:r>
          </w:p>
        </w:tc>
        <w:tc>
          <w:tcPr>
            <w:tcW w:type="dxa" w:w="3120"/>
            <w:vAlign w:val="top"/>
          </w:tcPr>
          <w:p>
            <w:pPr>
              <w:spacing w:line="240" w:lineRule="auto" w:after="0"/>
            </w:pPr>
            <w:r>
              <w:rPr>
                <w:rFonts w:ascii="Times New Roman" w:hAnsi="Times New Roman"/>
                <w:sz w:val="20"/>
              </w:rPr>
              <w:t>U.S. District Court, Eastern District of North Carolina, 310 New Bern Avenue, Raleigh, North Carolina 27601</w:t>
            </w:r>
          </w:p>
        </w:tc>
        <w:tc>
          <w:tcPr>
            <w:tcW w:type="dxa" w:w="3120"/>
            <w:vAlign w:val="top"/>
          </w:tcPr>
          <w:p>
            <w:pPr>
              <w:spacing w:line="240" w:lineRule="auto" w:after="0"/>
            </w:pPr>
            <w:r>
              <w:rPr>
                <w:rFonts w:ascii="Times New Roman" w:hAnsi="Times New Roman"/>
                <w:sz w:val="20"/>
              </w:rPr>
              <w:t>Courtesy copy required for documents containing twenty or more pages including attachments/exhibits.</w:t>
            </w:r>
          </w:p>
        </w:tc>
      </w:tr>
    </w:tbl>
    <w:p>
      <w:r>
        <w:rPr>
          <w:b w:val="0"/>
          <w:i w:val="0"/>
        </w:rPr>
        <w:t>Exhibits are to be clearly labeled. If the final packet is twenty or more pages including attachments or exhibits, a courtesy copy should be mailed or delivered to Judge Dever’s Case Manager as reflected above.</w:t>
      </w:r>
    </w:p>
    <w:p>
      <w:r>
        <w:rPr>
          <w:b w:val="0"/>
          <w:i w:val="0"/>
        </w:rPr>
        <w:t>Respectfully submitted,</w:t>
      </w:r>
    </w:p>
    <w:p>
      <w:r>
        <w:rPr>
          <w:b/>
          <w:i w:val="0"/>
        </w:rPr>
        <w:t>[Counsel signature required before filing]</w:t>
      </w:r>
    </w:p>
    <w:p>
      <w:r>
        <w:rPr>
          <w:b w:val="0"/>
          <w:i w:val="0"/>
        </w:rPr>
        <w:t>Thomas C. Manning</w:t>
      </w:r>
    </w:p>
    <w:p>
      <w:r>
        <w:rPr>
          <w:b w:val="0"/>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Text line: (919) 801-3267</w:t>
      </w:r>
    </w:p>
    <w:p>
      <w:r>
        <w:rPr>
          <w:b w:val="0"/>
          <w:i w:val="0"/>
        </w:rPr>
        <w:t>Email: [Counsel email address to be verified before filing]</w:t>
      </w:r>
    </w:p>
    <w:p>
      <w:r>
        <w:rPr>
          <w:b w:val="0"/>
          <w:i w:val="0"/>
        </w:rPr>
        <w:t>Counsel for Defendant William Scott Davis, Jr., if adopted and signed by counsel</w:t>
      </w:r>
    </w:p>
    <w:p>
      <w:r>
        <w:br w:type="page"/>
      </w:r>
    </w:p>
    <w:p>
      <w:r>
        <w:rPr>
          <w:b/>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Date: __________________, 2026</w:t>
      </w:r>
    </w:p>
    <w:p>
      <w:r>
        <w:rPr>
          <w:b w:val="0"/>
          <w:i w:val="0"/>
        </w:rPr>
        <w:t>Peter A. Moore, Jr.</w:t>
        <w:br/>
        <w:t>Clerk of Court</w:t>
        <w:br/>
        <w:t>United States District Court</w:t>
        <w:br/>
        <w:t>Eastern District of North Carolina</w:t>
        <w:br/>
        <w:t>PO Box 25670</w:t>
        <w:br/>
        <w:t>Raleigh, NC 27611</w:t>
      </w:r>
    </w:p>
    <w:p>
      <w:r>
        <w:rPr>
          <w:b w:val="0"/>
          <w:i w:val="0"/>
        </w:rPr>
        <w:t>Re: United States v. William Scott Davis, Jr., Case No. 5:14-cr-240-D - Corrected Attorney-Review Draft Motion for Early Termination of Supervised Release</w:t>
      </w:r>
    </w:p>
    <w:p>
      <w:r>
        <w:rPr>
          <w:b w:val="0"/>
          <w:i w:val="0"/>
        </w:rPr>
        <w:t>Dear Clerk of Court:</w:t>
      </w:r>
    </w:p>
    <w:p>
      <w:r>
        <w:rPr>
          <w:b w:val="0"/>
          <w:i w:val="0"/>
        </w:rPr>
        <w:t>Please accept the enclosed filing package for docketing in the above-captioned criminal matter, if adopted and signed by counsel.</w:t>
      </w:r>
    </w:p>
    <w:p>
      <w:r>
        <w:rPr>
          <w:b w:val="0"/>
          <w:i w:val="0"/>
        </w:rPr>
        <w:t>The enclosed package includes the corrected Motion and Petition, Memorandum of Law, Authority-Controlled Table of Authorities, Exhibit Index, exhibits if attached, Proposed Order, and Certificate of Service.</w:t>
      </w:r>
    </w:p>
    <w:p>
      <w:r>
        <w:rPr>
          <w:b w:val="0"/>
          <w:i w:val="0"/>
        </w:rPr>
        <w:t>This corrected package incorporates current verified filing-routing information, USSG §5D1.4, and the corrected early-termination authority framework. Because the filing package may contain twenty or more pages including attachments or exhibits, a courtesy copy is also being provided to Judge Dever’s Case Manager at 310 New Bern Avenue, Raleigh, North Carolina 27601.</w:t>
      </w:r>
    </w:p>
    <w:p>
      <w:r>
        <w:rPr>
          <w:b w:val="0"/>
          <w:i w:val="0"/>
        </w:rPr>
        <w:t>Please file these documents in United States v. Davis, No. 5:14-cr-240-D, and present them for consideration by the Court.</w:t>
      </w:r>
    </w:p>
    <w:p>
      <w:r>
        <w:rPr>
          <w:b w:val="0"/>
          <w:i w:val="0"/>
        </w:rPr>
        <w:t>Respectfully submitted,</w:t>
      </w:r>
    </w:p>
    <w:p>
      <w:r>
        <w:rPr>
          <w:b/>
          <w:i w:val="0"/>
        </w:rPr>
        <w:t>[Counsel signature required before filing]</w:t>
      </w:r>
    </w:p>
    <w:p>
      <w:r>
        <w:rPr>
          <w:b w:val="0"/>
          <w:i w:val="0"/>
        </w:rPr>
        <w:t>Thomas C. Manning</w:t>
      </w:r>
    </w:p>
    <w:p>
      <w:r>
        <w:rPr>
          <w:b w:val="0"/>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Text line: (919) 801-3267</w:t>
      </w:r>
    </w:p>
    <w:p>
      <w:r>
        <w:rPr>
          <w:b w:val="0"/>
          <w:i w:val="0"/>
        </w:rPr>
        <w:t>Email: [Counsel email address to be verified before filing]</w:t>
      </w:r>
    </w:p>
    <w:p>
      <w:r>
        <w:rPr>
          <w:b w:val="0"/>
          <w:i w:val="0"/>
        </w:rPr>
        <w:t>Counsel for Defendant William Scott Davis, Jr., if adopted and signed by counsel</w:t>
      </w:r>
    </w:p>
    <w:p>
      <w:r>
        <w:br w:type="page"/>
      </w:r>
    </w:p>
    <w:p>
      <w:r>
        <w:rPr>
          <w:b/>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Date: __________________, 2026</w:t>
      </w:r>
    </w:p>
    <w:p>
      <w:r>
        <w:rPr>
          <w:b w:val="0"/>
          <w:i w:val="0"/>
        </w:rPr>
        <w:t>Case Manager for the Honorable James C. Dever III</w:t>
        <w:br/>
        <w:t>United States District Court</w:t>
        <w:br/>
        <w:t>Eastern District of North Carolina</w:t>
        <w:br/>
        <w:t>310 New Bern Avenue</w:t>
        <w:br/>
        <w:t>Raleigh, North Carolina 27601</w:t>
      </w:r>
    </w:p>
    <w:p>
      <w:r>
        <w:rPr>
          <w:b w:val="0"/>
          <w:i w:val="0"/>
        </w:rPr>
        <w:t>Re: Courtesy Copy - United States v. William Scott Davis, Jr., Case No. 5:14-cr-240-D</w:t>
      </w:r>
    </w:p>
    <w:p>
      <w:r>
        <w:rPr>
          <w:b w:val="0"/>
          <w:i w:val="0"/>
        </w:rPr>
        <w:t>Dear Case Manager:</w:t>
      </w:r>
    </w:p>
    <w:p>
      <w:r>
        <w:rPr>
          <w:b w:val="0"/>
          <w:i w:val="0"/>
        </w:rPr>
        <w:t>Enclosed is a courtesy copy of the corrected Motion for Early Termination of Supervised Release filing package in the above-captioned matter, if adopted and signed by counsel.</w:t>
      </w:r>
    </w:p>
    <w:p>
      <w:r>
        <w:rPr>
          <w:b w:val="0"/>
          <w:i w:val="0"/>
        </w:rPr>
        <w:t>This courtesy copy is provided because Judge Dever’s practice preferences require a courtesy copy of documents containing twenty or more pages, including attachments and/or exhibits. Exhibits are clearly labeled in the Exhibit Index and attached exhibit packet if included.</w:t>
      </w:r>
    </w:p>
    <w:p>
      <w:r>
        <w:rPr>
          <w:b w:val="0"/>
          <w:i w:val="0"/>
        </w:rPr>
        <w:t>Respectfully submitted,</w:t>
      </w:r>
    </w:p>
    <w:p>
      <w:r>
        <w:rPr>
          <w:b/>
          <w:i w:val="0"/>
        </w:rPr>
        <w:t>[Counsel signature required before filing]</w:t>
      </w:r>
    </w:p>
    <w:p>
      <w:r>
        <w:rPr>
          <w:b w:val="0"/>
          <w:i w:val="0"/>
        </w:rPr>
        <w:t>Thomas C. Manning</w:t>
        <w:br/>
        <w:t>Manning Law Firm, PLLC</w:t>
      </w:r>
    </w:p>
    <w:p>
      <w:r>
        <w:br w:type="page"/>
      </w:r>
    </w:p>
    <w:p>
      <w:r>
        <w:rPr>
          <w:b/>
          <w:i w:val="0"/>
        </w:rPr>
        <w:t>Manning Law Firm, PLLC</w:t>
      </w:r>
    </w:p>
    <w:p>
      <w:r>
        <w:rPr>
          <w:b w:val="0"/>
          <w:i w:val="0"/>
        </w:rPr>
        <w:t>3509 Haworth Drive</w:t>
      </w:r>
    </w:p>
    <w:p>
      <w:r>
        <w:rPr>
          <w:b w:val="0"/>
          <w:i w:val="0"/>
        </w:rPr>
        <w:t>Raleigh, North Carolina 27609</w:t>
      </w:r>
    </w:p>
    <w:p>
      <w:r>
        <w:rPr>
          <w:b w:val="0"/>
          <w:i w:val="0"/>
        </w:rPr>
        <w:t>Telephone: (919) 834-3499</w:t>
      </w:r>
    </w:p>
    <w:p>
      <w:r>
        <w:rPr>
          <w:b w:val="0"/>
          <w:i w:val="0"/>
        </w:rPr>
        <w:t>Date: __________________, 2026</w:t>
      </w:r>
    </w:p>
    <w:p>
      <w:r>
        <w:rPr>
          <w:b w:val="0"/>
          <w:i w:val="0"/>
        </w:rPr>
        <w:t>Ashley N. Brimmer</w:t>
        <w:br/>
        <w:t>Senior U.S. Probation Officer</w:t>
        <w:br/>
        <w:t>United States Probation Office</w:t>
        <w:br/>
        <w:t>Northern District of Georgia</w:t>
        <w:br/>
        <w:t>Richard B. Russell Federal Building and United States Courthouse</w:t>
        <w:br/>
        <w:t>75 Ted Turner Drive SW, Suite 900</w:t>
        <w:br/>
        <w:t>Atlanta, Georgia 30303</w:t>
      </w:r>
    </w:p>
    <w:p>
      <w:r>
        <w:rPr>
          <w:b w:val="0"/>
          <w:i w:val="0"/>
        </w:rPr>
        <w:t>Re: United States v. William Scott Davis, Jr., EDNC Case No. 5:14-cr-240-D - Request for Review of Corrected Early-Termination Package</w:t>
      </w:r>
    </w:p>
    <w:p>
      <w:r>
        <w:rPr>
          <w:b w:val="0"/>
          <w:i w:val="0"/>
        </w:rPr>
        <w:t>Dear Officer Brimmer:</w:t>
      </w:r>
    </w:p>
    <w:p>
      <w:r>
        <w:rPr>
          <w:b w:val="0"/>
          <w:i w:val="0"/>
        </w:rPr>
        <w:t>Enclosed is a corrected attorney-review filing package seeking early termination of supervised release under 18 U.S.C. § 3583(e)(1), if adopted and signed by counsel.</w:t>
      </w:r>
    </w:p>
    <w:p>
      <w:r>
        <w:rPr>
          <w:b w:val="0"/>
          <w:i w:val="0"/>
        </w:rPr>
        <w:t>This request does not ask the Probation Office to exercise judicial authority. The sentencing court retains authority to terminate supervised release. The request asks the supervising Probation Office to review the supervision record and, if appropriate, state whether continued supervision remains necessary.</w:t>
      </w:r>
    </w:p>
    <w:p>
      <w:r>
        <w:rPr>
          <w:b w:val="0"/>
          <w:i w:val="0"/>
        </w:rPr>
        <w:t>The corrected package now addresses USSG §5D1.4, including the individualized assessment of ongoing supervision need, ability to lawfully self-manage, substantial compliance, prosocial support, risk level, public safety, and consultation with the government and probation officer.</w:t>
      </w:r>
    </w:p>
    <w:p>
      <w:r>
        <w:rPr>
          <w:b w:val="0"/>
          <w:i w:val="0"/>
        </w:rPr>
        <w:t>Respectfully submitted,</w:t>
      </w:r>
    </w:p>
    <w:p>
      <w:r>
        <w:rPr>
          <w:b/>
          <w:i w:val="0"/>
        </w:rPr>
        <w:t>[Counsel signature required before filing]</w:t>
      </w:r>
    </w:p>
    <w:p>
      <w:r>
        <w:rPr>
          <w:b w:val="0"/>
          <w:i w:val="0"/>
        </w:rPr>
        <w:t>Thomas C. Manning</w:t>
        <w:br/>
        <w:t>Manning Law Firm, PLLC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