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MDM 现场同步失败排障指南</w:t>
      </w:r>
    </w:p>
    <w:p>
      <w:r>
        <w:t>适用现象：现场同步失败，怀疑配置不生效或外部 JSON 文件解析异常。优先检查已落盘文件与同批次日志，再检查配置和网络。</w:t>
      </w:r>
    </w:p>
    <w:p>
      <w:r>
        <w:t>审查日期：2026-09-09。源码基线：</w:t>
      </w:r>
      <w:r>
        <w:rPr>
          <w:rFonts w:ascii="DejaVu Sans Mono" w:hAnsi="DejaVu Sans Mono"/>
          <w:sz w:val="17"/>
        </w:rPr>
        <w:t>980010339591e96e62c2e344fc6891c2a4af3803</w:t>
      </w:r>
      <w:r>
        <w:t xml:space="preserve">。本指南基于静态代码及配置审查；尚未获得现场原始文件、日志、镜像版本，以下风险不能直接认定为现场根因。仓库目录实际拼写为 </w:t>
      </w:r>
      <w:r>
        <w:rPr>
          <w:rFonts w:ascii="DejaVu Sans Mono" w:hAnsi="DejaVu Sans Mono"/>
          <w:sz w:val="17"/>
        </w:rPr>
        <w:t>docs/intergration/mdm</w:t>
      </w:r>
      <w:r>
        <w:t>。</w:t>
      </w:r>
    </w:p>
    <w:p>
      <w:pPr>
        <w:pStyle w:val="Heading1"/>
      </w:pPr>
      <w:r>
        <w:t>1 先定位失败阶段</w:t>
      </w:r>
    </w:p>
    <w:p>
      <w:r>
        <w:t xml:space="preserve">正式服务链路：发起上游 POST 请求 → 院方回调 </w:t>
      </w:r>
      <w:r>
        <w:rPr>
          <w:rFonts w:ascii="DejaVu Sans Mono" w:hAnsi="DejaVu Sans Mono"/>
          <w:sz w:val="17"/>
        </w:rPr>
        <w:t>/api/mdm/receive</w:t>
      </w:r>
      <w:r>
        <w:t xml:space="preserve"> → 读取 UTF-8 文件 → 尝试解析 JSON → 保存文件 → 提交异步任务 → 校验必填字段 → 同步组织 → 导入人员 → 推送 Keycloak 组织树。</w:t>
      </w:r>
    </w:p>
    <w:p>
      <w:r/>
      <w:r>
        <w:rPr>
          <w:b/>
        </w:rPr>
        <w:t>HTTP 200、握手成功、文件已保存都不等于导入成功。</w:t>
      </w:r>
      <w:r>
        <w:t xml:space="preserve"> 正式服务异步处理，响应中的记录数和导入数不是最终结果。Demo 仅落盘校验，不入库。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288"/>
        <w:gridCol w:w="4592"/>
      </w:tblGrid>
      <w:tr>
        <w:trPr>
          <w:cantSplit/>
          <w:tblHeader/>
        </w:trPr>
        <w:tc>
          <w:tcPr>
            <w:tcW w:type="dxa" w:w="2098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现场证据</w:t>
            </w:r>
          </w:p>
        </w:tc>
        <w:tc>
          <w:tcPr>
            <w:tcW w:type="dxa" w:w="3288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判断</w:t>
            </w:r>
          </w:p>
        </w:tc>
        <w:tc>
          <w:tcPr>
            <w:tcW w:type="dxa" w:w="4592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 xml:space="preserve">没有 </w:t>
            </w:r>
            <w:r>
              <w:rPr>
                <w:rFonts w:ascii="DejaVu Sans Mono" w:hAnsi="DejaVu Sans Mono"/>
                <w:sz w:val="18"/>
              </w:rPr>
              <w:t>mdm.pull.response</w:t>
            </w:r>
            <w:r>
              <w:rPr>
                <w:sz w:val="18"/>
              </w:rPr>
              <w:t>，有连接或上游错误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握手未完成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核对地址、路径、鉴权及上游返回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 xml:space="preserve">握手成功，没有 </w:t>
            </w:r>
            <w:r>
              <w:rPr>
                <w:rFonts w:ascii="DejaVu Sans Mono" w:hAnsi="DejaVu Sans Mono"/>
                <w:sz w:val="18"/>
              </w:rPr>
              <w:t>mdm.callback.saved</w:t>
            </w: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回调未到、鉴权失败、仅准备通知，或落盘失败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查回调日志、请求类型及目录权限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mdm.callback.parse-object failed</w:t>
            </w: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JSON 解码或语法解析失败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按第 3 节检查原始文件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已保存，</w:t>
            </w:r>
            <w:r>
              <w:rPr>
                <w:rFonts w:ascii="DejaVu Sans Mono" w:hAnsi="DejaVu Sans Mono"/>
                <w:sz w:val="18"/>
              </w:rPr>
              <w:t>parsed ... users=0 depts=0</w:t>
            </w: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结构不受支持、空集合，或解析失败后被当作空数据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查顶层结构和此前解析告警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mdm.callback.validation failed missingRequired=...</w:t>
            </w: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任一记录缺必填字段，整批停止，组织和人员都不导入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找到缺字段记录，修正源数据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mdm.callback.async.failed</w:t>
            </w: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异步阶段异常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保留完整异常栈，区分组织同步、数据库和人员导入问题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mdm.callback.import.users ... failed&gt;0</w:t>
            </w: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人员部分导入失败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查看人员导入批次失败明细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mdm.callback.push-keycloak failed</w:t>
            </w:r>
            <w:r>
              <w:rPr>
                <w:sz w:val="18"/>
              </w:rPr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组织树推送 Keycloak 失败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检查 Keycloak 配置和可用性，勿判定为 JSON 解析失败</w:t>
            </w:r>
          </w:p>
        </w:tc>
      </w:tr>
    </w:tbl>
    <w:p>
      <w:pPr>
        <w:spacing w:after="20"/>
      </w:pPr>
    </w:p>
    <w:p>
      <w:pPr>
        <w:pStyle w:val="Heading1"/>
      </w:pPr>
      <w:r>
        <w:t>2 保留现场证据</w:t>
      </w:r>
    </w:p>
    <w:p>
      <w:r>
        <w:t xml:space="preserve">在实际部署目录执行。先查服务所属 Compose 项目和配置文件，不要从开发目录启动容器。以下 </w:t>
      </w:r>
      <w:r>
        <w:rPr>
          <w:rFonts w:ascii="DejaVu Sans Mono" w:hAnsi="DejaVu Sans Mono"/>
          <w:sz w:val="17"/>
        </w:rPr>
        <w:t>&lt;...&gt;</w:t>
      </w:r>
      <w:r>
        <w:t xml:space="preserve"> 均须替换。日志与 JSON 可能含人员信息，只在现场保存，外发前脱敏。</w:t>
      </w:r>
    </w:p>
    <w:p>
      <w:pPr>
        <w:pStyle w:val="CodeBlock"/>
        <w:shd w:fill="F2F2F2"/>
      </w:pPr>
      <w:r>
        <w:t>docker ps -a --filter name=dts-admin --format 'table {{.ID}}\t{{.Names}}\t{{.Image}}\t{{.Status}}'</w:t>
      </w:r>
    </w:p>
    <w:p>
      <w:pPr>
        <w:pStyle w:val="CodeBlock"/>
        <w:shd w:fill="F2F2F2"/>
      </w:pPr>
      <w:r>
        <w:t>docker inspect &lt;容器ID&gt; --format '{{json .Config.Labels}}'</w:t>
      </w:r>
    </w:p>
    <w:p>
      <w:pPr>
        <w:pStyle w:val="CodeBlock"/>
        <w:shd w:fill="F2F2F2"/>
      </w:pPr>
      <w:r>
        <w:t>docker inspect &lt;容器ID&gt; --format 'image={{.Image}} workdir={{.Config.WorkingDir}}'</w:t>
      </w:r>
    </w:p>
    <w:p>
      <w:pPr>
        <w:pStyle w:val="CodeBlock"/>
        <w:shd w:fill="F2F2F2"/>
      </w:pPr>
      <w:r>
        <w:t>docker inspect &lt;容器ID&gt; --format '{{json .Mounts}}'</w:t>
      </w:r>
    </w:p>
    <w:p>
      <w:pPr>
        <w:pStyle w:val="CodeBlock"/>
        <w:shd w:fill="F2F2F2"/>
      </w:pPr>
      <w:r>
        <w:t>docker port &lt;容器ID&gt;</w:t>
      </w:r>
    </w:p>
    <w:p>
      <w:pPr>
        <w:pStyle w:val="CodeBlock"/>
        <w:shd w:fill="F2F2F2"/>
      </w:pPr>
      <w:r>
        <w:t>docker logs --since 30m --timestamps &lt;容器ID&gt; &gt; /tmp/mdm-admin-incident.log 2&gt;&amp;1</w:t>
      </w:r>
    </w:p>
    <w:p>
      <w:pPr>
        <w:pStyle w:val="CodeBlock"/>
        <w:shd w:fill="F2F2F2"/>
      </w:pPr>
      <w:r>
        <w:t>rg -n -C 4 'mdm\.(pull|callback)|mdm upstream pull failed|Exception|Caused by' /tmp/mdm-admin-incident.log</w:t>
      </w:r>
    </w:p>
    <w:p>
      <w:r>
        <w:t xml:space="preserve">日志默认文件为容器 </w:t>
      </w:r>
      <w:r>
        <w:rPr>
          <w:rFonts w:ascii="DejaVu Sans Mono" w:hAnsi="DejaVu Sans Mono"/>
          <w:sz w:val="17"/>
        </w:rPr>
        <w:t>/logs/dts-admin/mdm-gateway.log</w:t>
      </w:r>
      <w:r>
        <w:t xml:space="preserve">，标准 Compose 对应宿主 </w:t>
      </w:r>
      <w:r>
        <w:rPr>
          <w:rFonts w:ascii="DejaVu Sans Mono" w:hAnsi="DejaVu Sans Mono"/>
          <w:sz w:val="17"/>
        </w:rPr>
        <w:t>./logs/dts-admin/mdm-gateway.log</w:t>
      </w:r>
      <w:r>
        <w:t>。若控制台没有 MDM 记录，应按实际挂载和配置读专用日志，不能据此判定未收到请求。</w:t>
      </w:r>
    </w:p>
    <w:p>
      <w:r>
        <w:t xml:space="preserve">按 </w:t>
      </w:r>
      <w:r>
        <w:rPr>
          <w:rFonts w:ascii="DejaVu Sans Mono" w:hAnsi="DejaVu Sans Mono"/>
          <w:sz w:val="17"/>
        </w:rPr>
        <w:t>mdm.callback.saved file=...</w:t>
      </w:r>
      <w:r>
        <w:t xml:space="preserve"> 找到宿主机挂载中的原始文件；默认 </w:t>
      </w:r>
      <w:r>
        <w:rPr>
          <w:rFonts w:ascii="DejaVu Sans Mono" w:hAnsi="DejaVu Sans Mono"/>
          <w:sz w:val="17"/>
        </w:rPr>
        <w:t>/data/mdm</w:t>
      </w:r>
      <w:r>
        <w:t xml:space="preserve"> 对应部署目录 </w:t>
      </w:r>
      <w:r>
        <w:rPr>
          <w:rFonts w:ascii="DejaVu Sans Mono" w:hAnsi="DejaVu Sans Mono"/>
          <w:sz w:val="17"/>
        </w:rPr>
        <w:t>./data/mdm</w:t>
      </w:r>
      <w:r>
        <w:t>。在现场证据目录保存只读副本并记录 SHA-256、大小、接收时间与日志，不覆盖原件，不重复触发全量同步取证。</w:t>
      </w:r>
    </w:p>
    <w:p>
      <w:r>
        <w:t xml:space="preserve">注意：文件名可能来自 </w:t>
      </w:r>
      <w:r>
        <w:rPr>
          <w:rFonts w:ascii="DejaVu Sans Mono" w:hAnsi="DejaVu Sans Mono"/>
          <w:sz w:val="17"/>
        </w:rPr>
        <w:t>desp.sendTime</w:t>
      </w:r>
      <w:r>
        <w:t xml:space="preserve"> 或首个人员的 </w:t>
      </w:r>
      <w:r>
        <w:rPr>
          <w:rFonts w:ascii="DejaVu Sans Mono" w:hAnsi="DejaVu Sans Mono"/>
          <w:sz w:val="17"/>
        </w:rPr>
        <w:t>updateTime</w:t>
      </w:r>
      <w:r>
        <w:t xml:space="preserve">；同一天相同派生文件名会被 </w:t>
      </w:r>
      <w:r>
        <w:rPr>
          <w:rFonts w:ascii="DejaVu Sans Mono" w:hAnsi="DejaVu Sans Mono"/>
          <w:sz w:val="17"/>
        </w:rPr>
        <w:t>TRUNCATE_EXISTING</w:t>
      </w:r>
      <w:r>
        <w:t xml:space="preserve"> 覆盖。重复推送前先留存原件，文件名不保证每批唯一。</w:t>
      </w:r>
    </w:p>
    <w:p>
      <w:pPr>
        <w:pStyle w:val="Heading1"/>
      </w:pPr>
      <w:r>
        <w:t>3 检查外部 JSON</w:t>
      </w:r>
    </w:p>
    <w:p>
      <w:pPr>
        <w:pStyle w:val="Heading2"/>
      </w:pPr>
      <w:r>
        <w:t>3.1 文件编码和语法</w:t>
      </w:r>
    </w:p>
    <w:p>
      <w:r>
        <w:t>在有 Python 3 的现场机器执行以下只读检查，不输出人员字段值。将路径换成保存的原始文件；不需要联网安装依赖。</w:t>
      </w:r>
    </w:p>
    <w:p>
      <w:pPr>
        <w:pStyle w:val="CodeBlock"/>
        <w:shd w:fill="F2F2F2"/>
      </w:pPr>
      <w:r>
        <w:t>python3 - /现场证据/失败原始文件.json &lt;&lt;'PYJSON'</w:t>
      </w:r>
    </w:p>
    <w:p>
      <w:pPr>
        <w:pStyle w:val="CodeBlock"/>
        <w:shd w:fill="F2F2F2"/>
      </w:pPr>
      <w:r>
        <w:t>import sys, json, hashlib</w:t>
      </w:r>
    </w:p>
    <w:p>
      <w:pPr>
        <w:pStyle w:val="CodeBlock"/>
        <w:shd w:fill="F2F2F2"/>
      </w:pPr>
      <w:r>
        <w:t>from pathlib import Path</w:t>
      </w:r>
    </w:p>
    <w:p>
      <w:pPr>
        <w:pStyle w:val="CodeBlock"/>
        <w:shd w:fill="F2F2F2"/>
      </w:pPr>
      <w:r>
        <w:t>raw = Path(sys.argv[1]).read_bytes()</w:t>
      </w:r>
    </w:p>
    <w:p>
      <w:pPr>
        <w:pStyle w:val="CodeBlock"/>
        <w:shd w:fill="F2F2F2"/>
      </w:pPr>
      <w:r>
        <w:t>print('bytes=', len(raw), 'sha256=', hashlib.sha256(raw).hexdigest())</w:t>
      </w:r>
    </w:p>
    <w:p>
      <w:pPr>
        <w:pStyle w:val="CodeBlock"/>
        <w:shd w:fill="F2F2F2"/>
      </w:pPr>
      <w:r>
        <w:t>print('utf8_bom=', raw.startswith(b'\xef\xbb\xbf'))</w:t>
      </w:r>
    </w:p>
    <w:p>
      <w:pPr>
        <w:pStyle w:val="CodeBlock"/>
        <w:shd w:fill="F2F2F2"/>
      </w:pPr>
      <w:r>
        <w:t>try:</w:t>
      </w:r>
    </w:p>
    <w:p>
      <w:pPr>
        <w:pStyle w:val="CodeBlock"/>
        <w:shd w:fill="F2F2F2"/>
      </w:pPr>
      <w:r>
        <w:t xml:space="preserve">    text = raw.decode('utf-8')</w:t>
      </w:r>
    </w:p>
    <w:p>
      <w:pPr>
        <w:pStyle w:val="CodeBlock"/>
        <w:shd w:fill="F2F2F2"/>
      </w:pPr>
      <w:r>
        <w:t>except UnicodeDecodeError as e:</w:t>
      </w:r>
    </w:p>
    <w:p>
      <w:pPr>
        <w:pStyle w:val="CodeBlock"/>
        <w:shd w:fill="F2F2F2"/>
      </w:pPr>
      <w:r>
        <w:t xml:space="preserve">    print('UTF8_ERROR byte_offset=', e.start)</w:t>
      </w:r>
    </w:p>
    <w:p>
      <w:pPr>
        <w:pStyle w:val="CodeBlock"/>
        <w:shd w:fill="F2F2F2"/>
      </w:pPr>
      <w:r>
        <w:t xml:space="preserve">    raise SystemExit(1)</w:t>
      </w:r>
    </w:p>
    <w:p>
      <w:pPr>
        <w:pStyle w:val="CodeBlock"/>
        <w:shd w:fill="F2F2F2"/>
      </w:pPr>
      <w:r>
        <w:t>try:</w:t>
      </w:r>
    </w:p>
    <w:p>
      <w:pPr>
        <w:pStyle w:val="CodeBlock"/>
        <w:shd w:fill="F2F2F2"/>
      </w:pPr>
      <w:r>
        <w:t xml:space="preserve">    obj = json.loads(text)</w:t>
      </w:r>
    </w:p>
    <w:p>
      <w:pPr>
        <w:pStyle w:val="CodeBlock"/>
        <w:shd w:fill="F2F2F2"/>
      </w:pPr>
      <w:r>
        <w:t>except json.JSONDecodeError as e:</w:t>
      </w:r>
    </w:p>
    <w:p>
      <w:pPr>
        <w:pStyle w:val="CodeBlock"/>
        <w:shd w:fill="F2F2F2"/>
      </w:pPr>
      <w:r>
        <w:t xml:space="preserve">    print('JSON_ERROR=', e.msg, 'line=', e.lineno, 'column=', e.colno)</w:t>
      </w:r>
    </w:p>
    <w:p>
      <w:pPr>
        <w:pStyle w:val="CodeBlock"/>
        <w:shd w:fill="F2F2F2"/>
      </w:pPr>
      <w:r>
        <w:t xml:space="preserve">    raise SystemExit(2)</w:t>
      </w:r>
    </w:p>
    <w:p>
      <w:pPr>
        <w:pStyle w:val="CodeBlock"/>
        <w:shd w:fill="F2F2F2"/>
      </w:pPr>
      <w:r>
        <w:t>print('top_type=', type(obj).__name__)</w:t>
      </w:r>
    </w:p>
    <w:p>
      <w:pPr>
        <w:pStyle w:val="CodeBlock"/>
        <w:shd w:fill="F2F2F2"/>
      </w:pPr>
      <w:r>
        <w:t>if isinstance(obj, dict):</w:t>
      </w:r>
    </w:p>
    <w:p>
      <w:pPr>
        <w:pStyle w:val="CodeBlock"/>
        <w:shd w:fill="F2F2F2"/>
      </w:pPr>
      <w:r>
        <w:t xml:space="preserve">    print('top_keys=', list(obj))</w:t>
      </w:r>
    </w:p>
    <w:p>
      <w:pPr>
        <w:pStyle w:val="CodeBlock"/>
        <w:shd w:fill="F2F2F2"/>
      </w:pPr>
      <w:r/>
    </w:p>
    <w:p>
      <w:pPr>
        <w:pStyle w:val="CodeBlock"/>
        <w:shd w:fill="F2F2F2"/>
      </w:pPr>
      <w:r>
        <w:t>def inspect_group(names, required, top_array=False):</w:t>
      </w:r>
    </w:p>
    <w:p>
      <w:pPr>
        <w:pStyle w:val="CodeBlock"/>
        <w:shd w:fill="F2F2F2"/>
      </w:pPr>
      <w:r>
        <w:t xml:space="preserve">    if isinstance(obj, list) and top_array:</w:t>
      </w:r>
    </w:p>
    <w:p>
      <w:pPr>
        <w:pStyle w:val="CodeBlock"/>
        <w:shd w:fill="F2F2F2"/>
      </w:pPr>
      <w:r>
        <w:t xml:space="preserve">        key, value = '&lt;top_array_as_users&gt;', obj</w:t>
      </w:r>
    </w:p>
    <w:p>
      <w:pPr>
        <w:pStyle w:val="CodeBlock"/>
        <w:shd w:fill="F2F2F2"/>
      </w:pPr>
      <w:r>
        <w:t xml:space="preserve">    elif isinstance(obj, dict):</w:t>
      </w:r>
    </w:p>
    <w:p>
      <w:pPr>
        <w:pStyle w:val="CodeBlock"/>
        <w:shd w:fill="F2F2F2"/>
      </w:pPr>
      <w:r>
        <w:t xml:space="preserve">        key = next((k for k in names if obj.get(k) is not None), None)</w:t>
      </w:r>
    </w:p>
    <w:p>
      <w:pPr>
        <w:pStyle w:val="CodeBlock"/>
        <w:shd w:fill="F2F2F2"/>
      </w:pPr>
      <w:r>
        <w:t xml:space="preserve">        value = obj.get(key) if key is not None else None</w:t>
      </w:r>
    </w:p>
    <w:p>
      <w:pPr>
        <w:pStyle w:val="CodeBlock"/>
        <w:shd w:fill="F2F2F2"/>
      </w:pPr>
      <w:r>
        <w:t xml:space="preserve">    else:</w:t>
      </w:r>
    </w:p>
    <w:p>
      <w:pPr>
        <w:pStyle w:val="CodeBlock"/>
        <w:shd w:fill="F2F2F2"/>
      </w:pPr>
      <w:r>
        <w:t xml:space="preserve">        key, value = None, None</w:t>
      </w:r>
    </w:p>
    <w:p>
      <w:pPr>
        <w:pStyle w:val="CodeBlock"/>
        <w:shd w:fill="F2F2F2"/>
      </w:pPr>
      <w:r>
        <w:t xml:space="preserve">    print('group=', names[0], 'selected_key=', key,</w:t>
      </w:r>
    </w:p>
    <w:p>
      <w:pPr>
        <w:pStyle w:val="CodeBlock"/>
        <w:shd w:fill="F2F2F2"/>
      </w:pPr>
      <w:r>
        <w:t xml:space="preserve">          'type=', type(value).__name__,</w:t>
      </w:r>
    </w:p>
    <w:p>
      <w:pPr>
        <w:pStyle w:val="CodeBlock"/>
        <w:shd w:fill="F2F2F2"/>
      </w:pPr>
      <w:r>
        <w:t xml:space="preserve">          'items=', len(value) if isinstance(value, list) else 0)</w:t>
      </w:r>
    </w:p>
    <w:p>
      <w:pPr>
        <w:pStyle w:val="CodeBlock"/>
        <w:shd w:fill="F2F2F2"/>
      </w:pPr>
      <w:r>
        <w:t xml:space="preserve">    if not isinstance(value, list):</w:t>
      </w:r>
    </w:p>
    <w:p>
      <w:pPr>
        <w:pStyle w:val="CodeBlock"/>
        <w:shd w:fill="F2F2F2"/>
      </w:pPr>
      <w:r>
        <w:t xml:space="preserve">        return</w:t>
      </w:r>
    </w:p>
    <w:p>
      <w:pPr>
        <w:pStyle w:val="CodeBlock"/>
        <w:shd w:fill="F2F2F2"/>
      </w:pPr>
      <w:r>
        <w:t xml:space="preserve">    invalid = [i for i, row in enumerate(value, 1) if not isinstance(row, dict)]</w:t>
      </w:r>
    </w:p>
    <w:p>
      <w:pPr>
        <w:pStyle w:val="CodeBlock"/>
        <w:shd w:fill="F2F2F2"/>
      </w:pPr>
      <w:r>
        <w:t xml:space="preserve">    missing = [(i, [k for k in required if row.get(k) is None or</w:t>
      </w:r>
    </w:p>
    <w:p>
      <w:pPr>
        <w:pStyle w:val="CodeBlock"/>
        <w:shd w:fill="F2F2F2"/>
      </w:pPr>
      <w:r>
        <w:t xml:space="preserve">                   not str(row[k]).strip()])</w:t>
      </w:r>
    </w:p>
    <w:p>
      <w:pPr>
        <w:pStyle w:val="CodeBlock"/>
        <w:shd w:fill="F2F2F2"/>
      </w:pPr>
      <w:r>
        <w:t xml:space="preserve">               for i, row in enumerate(value, 1) if isinstance(row, dict)]</w:t>
      </w:r>
    </w:p>
    <w:p>
      <w:pPr>
        <w:pStyle w:val="CodeBlock"/>
        <w:shd w:fill="F2F2F2"/>
      </w:pPr>
      <w:r>
        <w:t xml:space="preserve">    missing = [(i, keys) for i, keys in missing if keys]</w:t>
      </w:r>
    </w:p>
    <w:p>
      <w:pPr>
        <w:pStyle w:val="CodeBlock"/>
        <w:shd w:fill="F2F2F2"/>
      </w:pPr>
      <w:r>
        <w:t xml:space="preserve">    print('non_object_rows=', len(invalid), 'first20=', invalid[:20])</w:t>
      </w:r>
    </w:p>
    <w:p>
      <w:pPr>
        <w:pStyle w:val="CodeBlock"/>
        <w:shd w:fill="F2F2F2"/>
      </w:pPr>
      <w:r>
        <w:t xml:space="preserve">    print('missing_rows=', len(missing), 'first20=', missing[:20])</w:t>
      </w:r>
    </w:p>
    <w:p>
      <w:pPr>
        <w:pStyle w:val="CodeBlock"/>
        <w:shd w:fill="F2F2F2"/>
      </w:pPr>
      <w:r/>
    </w:p>
    <w:p>
      <w:pPr>
        <w:pStyle w:val="CodeBlock"/>
        <w:shd w:fill="F2F2F2"/>
      </w:pPr>
      <w:r>
        <w:t># 如现场 required.users/depts 已调整，同步替换以下字段列表。</w:t>
      </w:r>
    </w:p>
    <w:p>
      <w:pPr>
        <w:pStyle w:val="CodeBlock"/>
        <w:shd w:fill="F2F2F2"/>
      </w:pPr>
      <w:r>
        <w:t>inspect_group(['users', 'user'], ['userCode', 'userName', 'deptCode'], True)</w:t>
      </w:r>
    </w:p>
    <w:p>
      <w:pPr>
        <w:pStyle w:val="CodeBlock"/>
        <w:shd w:fill="F2F2F2"/>
      </w:pPr>
      <w:r>
        <w:t>inspect_group(['depts', 'orgId', 'orgIds', 'orgs', 'orgIt'], ['deptCode', 'deptName'])</w:t>
      </w:r>
    </w:p>
    <w:p>
      <w:pPr>
        <w:pStyle w:val="CodeBlock"/>
        <w:shd w:fill="F2F2F2"/>
      </w:pPr>
      <w:r>
        <w:t>PYJSON</w:t>
      </w:r>
    </w:p>
    <w:p>
      <w:r>
        <w:t>该脚本是严格 JSON 与结构预检，不替代 Java/Jackson 运行验收。重点检查空文件、UTF-16/GBK、UTF-8 BOM、HTML 错误页、转义后的 JSON 字符串、尾逗号、注释、多段 JSON、</w:t>
      </w:r>
      <w:r>
        <w:rPr>
          <w:rFonts w:ascii="DejaVu Sans Mono" w:hAnsi="DejaVu Sans Mono"/>
          <w:sz w:val="17"/>
        </w:rPr>
        <w:t>---</w:t>
      </w:r>
      <w:r>
        <w:t xml:space="preserve"> 分隔内容。正式服务不会执行 Mock 的多文档合并逻辑。编码或语法修正应由源端完成，保留修正前后证据。</w:t>
      </w:r>
    </w:p>
    <w:p>
      <w:pPr>
        <w:pStyle w:val="Heading2"/>
      </w:pPr>
      <w:r>
        <w:t>3.2 当前正式服务支持的结构</w:t>
      </w:r>
    </w:p>
    <w:p>
      <w:r>
        <w:t>推荐单个 JSON 对象，集合内每条记录是对象：</w:t>
      </w:r>
    </w:p>
    <w:p>
      <w:pPr>
        <w:pStyle w:val="CodeBlock"/>
        <w:shd w:fill="F2F2F2"/>
      </w:pPr>
      <w:r>
        <w:t>{</w:t>
      </w:r>
    </w:p>
    <w:p>
      <w:pPr>
        <w:pStyle w:val="CodeBlock"/>
        <w:shd w:fill="F2F2F2"/>
      </w:pPr>
      <w:r>
        <w:t xml:space="preserve">  "users": [{"userCode": "U001", "userName": "联调人员", "deptCode": "D001", "status": "1"}],</w:t>
      </w:r>
    </w:p>
    <w:p>
      <w:pPr>
        <w:pStyle w:val="CodeBlock"/>
        <w:shd w:fill="F2F2F2"/>
      </w:pPr>
      <w:r>
        <w:t xml:space="preserve">  "depts": [{"deptCode": "D001", "deptName": "联调部门", "parentCode": "90", "status": "1"}]</w:t>
      </w:r>
    </w:p>
    <w:p>
      <w:pPr>
        <w:pStyle w:val="CodeBlock"/>
        <w:shd w:fill="F2F2F2"/>
      </w:pPr>
      <w:r>
        <w:t>}</w:t>
      </w:r>
    </w:p>
    <w:p>
      <w:r>
        <w:t>此例仅说明结构，不能直接向生产提交测试人员。组织父节点和业务编码须按现场数据约定确认。</w:t>
      </w:r>
    </w:p>
    <w:p>
      <w:pPr>
        <w:ind w:left="198"/>
      </w:pPr>
      <w:r>
        <w:t xml:space="preserve">- 人员按 </w:t>
      </w:r>
      <w:r>
        <w:rPr>
          <w:rFonts w:ascii="DejaVu Sans Mono" w:hAnsi="DejaVu Sans Mono"/>
          <w:sz w:val="17"/>
        </w:rPr>
        <w:t>users</w:t>
      </w:r>
      <w:r>
        <w:t>、</w:t>
      </w:r>
      <w:r>
        <w:rPr>
          <w:rFonts w:ascii="DejaVu Sans Mono" w:hAnsi="DejaVu Sans Mono"/>
          <w:sz w:val="17"/>
        </w:rPr>
        <w:t>user</w:t>
      </w:r>
      <w:r>
        <w:t xml:space="preserve"> 顺序取第一个非 null 字段。</w:t>
      </w:r>
    </w:p>
    <w:p>
      <w:pPr>
        <w:ind w:left="198"/>
      </w:pPr>
      <w:r>
        <w:t xml:space="preserve">- 组织按 </w:t>
      </w:r>
      <w:r>
        <w:rPr>
          <w:rFonts w:ascii="DejaVu Sans Mono" w:hAnsi="DejaVu Sans Mono"/>
          <w:sz w:val="17"/>
        </w:rPr>
        <w:t>depts</w:t>
      </w:r>
      <w:r>
        <w:t>、</w:t>
      </w:r>
      <w:r>
        <w:rPr>
          <w:rFonts w:ascii="DejaVu Sans Mono" w:hAnsi="DejaVu Sans Mono"/>
          <w:sz w:val="17"/>
        </w:rPr>
        <w:t>orgId</w:t>
      </w:r>
      <w:r>
        <w:t>、</w:t>
      </w:r>
      <w:r>
        <w:rPr>
          <w:rFonts w:ascii="DejaVu Sans Mono" w:hAnsi="DejaVu Sans Mono"/>
          <w:sz w:val="17"/>
        </w:rPr>
        <w:t>orgIds</w:t>
      </w:r>
      <w:r>
        <w:t>、</w:t>
      </w:r>
      <w:r>
        <w:rPr>
          <w:rFonts w:ascii="DejaVu Sans Mono" w:hAnsi="DejaVu Sans Mono"/>
          <w:sz w:val="17"/>
        </w:rPr>
        <w:t>orgs</w:t>
      </w:r>
      <w:r>
        <w:t>、</w:t>
      </w:r>
      <w:r>
        <w:rPr>
          <w:rFonts w:ascii="DejaVu Sans Mono" w:hAnsi="DejaVu Sans Mono"/>
          <w:sz w:val="17"/>
        </w:rPr>
        <w:t>orgIt</w:t>
      </w:r>
      <w:r>
        <w:t xml:space="preserve"> 顺序取第一个非 null 字段。</w:t>
      </w:r>
    </w:p>
    <w:p>
      <w:pPr>
        <w:ind w:left="198"/>
      </w:pPr>
      <w:r>
        <w:t xml:space="preserve">- </w:t>
      </w:r>
      <w:r>
        <w:rPr>
          <w:b/>
        </w:rPr>
        <w:t>空数组也会优先命中</w:t>
      </w:r>
      <w:r>
        <w:t>：</w:t>
      </w:r>
      <w:r>
        <w:rPr>
          <w:rFonts w:ascii="DejaVu Sans Mono" w:hAnsi="DejaVu Sans Mono"/>
          <w:sz w:val="17"/>
        </w:rPr>
        <w:t>users: []</w:t>
      </w:r>
      <w:r>
        <w:t xml:space="preserve"> 会遮住后面的有效 </w:t>
      </w:r>
      <w:r>
        <w:rPr>
          <w:rFonts w:ascii="DejaVu Sans Mono" w:hAnsi="DejaVu Sans Mono"/>
          <w:sz w:val="17"/>
        </w:rPr>
        <w:t>user</w:t>
      </w:r>
      <w:r>
        <w:t>；字段是字符串或对象也不会继续寻找下一个候选字段。</w:t>
      </w:r>
    </w:p>
    <w:p>
      <w:pPr>
        <w:ind w:left="198"/>
      </w:pPr>
      <w:r>
        <w:t xml:space="preserve">- 不会自动解包 </w:t>
      </w:r>
      <w:r>
        <w:rPr>
          <w:rFonts w:ascii="DejaVu Sans Mono" w:hAnsi="DejaVu Sans Mono"/>
          <w:sz w:val="17"/>
        </w:rPr>
        <w:t>data</w:t>
      </w:r>
      <w:r>
        <w:t>、</w:t>
      </w:r>
      <w:r>
        <w:rPr>
          <w:rFonts w:ascii="DejaVu Sans Mono" w:hAnsi="DejaVu Sans Mono"/>
          <w:sz w:val="17"/>
        </w:rPr>
        <w:t>result</w:t>
      </w:r>
      <w:r>
        <w:t xml:space="preserve"> 等外层对象，也不会对字符串内容进行第二次 JSON 解析。</w:t>
      </w:r>
    </w:p>
    <w:p>
      <w:pPr>
        <w:ind w:left="198"/>
      </w:pPr>
      <w:r>
        <w:t xml:space="preserve">- 顶层数组一律作为人员集合；组织数组即使带 </w:t>
      </w:r>
      <w:r>
        <w:rPr>
          <w:rFonts w:ascii="DejaVu Sans Mono" w:hAnsi="DejaVu Sans Mono"/>
          <w:sz w:val="17"/>
        </w:rPr>
        <w:t>type=depts</w:t>
      </w:r>
      <w:r>
        <w:t xml:space="preserve"> 也不会变成组织集合。</w:t>
      </w:r>
    </w:p>
    <w:p>
      <w:pPr>
        <w:ind w:left="198"/>
      </w:pPr>
      <w:r>
        <w:t>- 数组内非对象元素被忽略；必填检查不等于完整字段类型校验。</w:t>
      </w:r>
    </w:p>
    <w:p>
      <w:pPr>
        <w:ind w:left="198"/>
      </w:pPr>
      <w:r>
        <w:t xml:space="preserve">- 默认人员必填 </w:t>
      </w:r>
      <w:r>
        <w:rPr>
          <w:rFonts w:ascii="DejaVu Sans Mono" w:hAnsi="DejaVu Sans Mono"/>
          <w:sz w:val="17"/>
        </w:rPr>
        <w:t>userCode,userName,deptCode</w:t>
      </w:r>
      <w:r>
        <w:t xml:space="preserve">，组织必填 </w:t>
      </w:r>
      <w:r>
        <w:rPr>
          <w:rFonts w:ascii="DejaVu Sans Mono" w:hAnsi="DejaVu Sans Mono"/>
          <w:sz w:val="17"/>
        </w:rPr>
        <w:t>deptCode,deptName</w:t>
      </w:r>
      <w:r>
        <w:t xml:space="preserve">。任意一条缺失会使该文件整批停止导入。仅修改 </w:t>
      </w:r>
      <w:r>
        <w:rPr>
          <w:rFonts w:ascii="DejaVu Sans Mono" w:hAnsi="DejaVu Sans Mono"/>
          <w:sz w:val="17"/>
        </w:rPr>
        <w:t>required-fields</w:t>
      </w:r>
      <w:r>
        <w:t xml:space="preserve"> 不影响此处实际使用的 </w:t>
      </w:r>
      <w:r>
        <w:rPr>
          <w:rFonts w:ascii="DejaVu Sans Mono" w:hAnsi="DejaVu Sans Mono"/>
          <w:sz w:val="17"/>
        </w:rPr>
        <w:t>required.users/depts</w:t>
      </w:r>
      <w:r>
        <w:t>。</w:t>
      </w:r>
    </w:p>
    <w:p>
      <w:pPr>
        <w:ind w:left="198"/>
      </w:pPr>
      <w:r>
        <w:t>- 组织先于人员导入。组织同步异常可阻止随后人员导入；Keycloak 推送失败则有单独告警。</w:t>
      </w:r>
    </w:p>
    <w:p>
      <w:pPr>
        <w:pStyle w:val="Heading2"/>
      </w:pPr>
      <w:r>
        <w:t>3.3 HTTP 接收格式</w:t>
      </w:r>
    </w:p>
    <w:p>
      <w:r>
        <w:t xml:space="preserve">正式入口是 </w:t>
      </w:r>
      <w:r>
        <w:rPr>
          <w:rFonts w:ascii="DejaVu Sans Mono" w:hAnsi="DejaVu Sans Mono"/>
          <w:sz w:val="17"/>
        </w:rPr>
        <w:t>POST /api/mdm/receive</w:t>
      </w:r>
      <w:r>
        <w:t xml:space="preserve">，推荐 </w:t>
      </w:r>
      <w:r>
        <w:rPr>
          <w:rFonts w:ascii="DejaVu Sans Mono" w:hAnsi="DejaVu Sans Mono"/>
          <w:sz w:val="17"/>
        </w:rPr>
        <w:t>multipart/form-data</w:t>
      </w:r>
      <w:r>
        <w:t>：</w:t>
      </w:r>
      <w:r>
        <w:rPr>
          <w:rFonts w:ascii="DejaVu Sans Mono" w:hAnsi="DejaVu Sans Mono"/>
          <w:sz w:val="17"/>
        </w:rPr>
        <w:t>dataType=full</w:t>
      </w:r>
      <w:r>
        <w:t xml:space="preserve">，文件部件必须名为 </w:t>
      </w:r>
      <w:r>
        <w:rPr>
          <w:rFonts w:ascii="DejaVu Sans Mono" w:hAnsi="DejaVu Sans Mono"/>
          <w:sz w:val="17"/>
        </w:rPr>
        <w:t>file</w:t>
      </w:r>
      <w:r>
        <w:t>。发送工具应自动生成 multipart boundary。</w:t>
      </w:r>
    </w:p>
    <w:p>
      <w:r>
        <w:t xml:space="preserve">代码虽声明接受 </w:t>
      </w:r>
      <w:r>
        <w:rPr>
          <w:rFonts w:ascii="DejaVu Sans Mono" w:hAnsi="DejaVu Sans Mono"/>
          <w:sz w:val="17"/>
        </w:rPr>
        <w:t>application/json</w:t>
      </w:r>
      <w:r>
        <w:t xml:space="preserve">，却没有 </w:t>
      </w:r>
      <w:r>
        <w:rPr>
          <w:rFonts w:ascii="DejaVu Sans Mono" w:hAnsi="DejaVu Sans Mono"/>
          <w:sz w:val="17"/>
        </w:rPr>
        <w:t>@RequestBody</w:t>
      </w:r>
      <w:r>
        <w:t xml:space="preserve"> 或读取原始请求流，仅读取 </w:t>
      </w:r>
      <w:r>
        <w:rPr>
          <w:rFonts w:ascii="DejaVu Sans Mono" w:hAnsi="DejaVu Sans Mono"/>
          <w:sz w:val="17"/>
        </w:rPr>
        <w:t>file</w:t>
      </w:r>
      <w:r>
        <w:t xml:space="preserve">、请求参数 </w:t>
      </w:r>
      <w:r>
        <w:rPr>
          <w:rFonts w:ascii="DejaVu Sans Mono" w:hAnsi="DejaVu Sans Mono"/>
          <w:sz w:val="17"/>
        </w:rPr>
        <w:t>payload/body</w:t>
      </w:r>
      <w:r>
        <w:t xml:space="preserve">。因此 </w:t>
      </w:r>
      <w:r>
        <w:rPr>
          <w:rFonts w:ascii="DejaVu Sans Mono" w:hAnsi="DejaVu Sans Mono"/>
          <w:sz w:val="17"/>
        </w:rPr>
        <w:t>curl -H 'Content-Type: application/json' -d @文件</w:t>
      </w:r>
      <w:r>
        <w:t xml:space="preserve"> 不能作为当前实现的有效导入方式，可能保存空文件并返回成功。</w:t>
      </w:r>
    </w:p>
    <w:p>
      <w:r/>
      <w:r>
        <w:rPr>
          <w:rFonts w:ascii="DejaVu Sans Mono" w:hAnsi="DejaVu Sans Mono"/>
          <w:sz w:val="17"/>
        </w:rPr>
        <w:t>sync-demand</w:t>
      </w:r>
      <w:r>
        <w:t xml:space="preserve"> 或 </w:t>
      </w:r>
      <w:r>
        <w:rPr>
          <w:rFonts w:ascii="DejaVu Sans Mono" w:hAnsi="DejaVu Sans Mono"/>
          <w:sz w:val="17"/>
        </w:rPr>
        <w:t>sync_demand</w:t>
      </w:r>
      <w:r>
        <w:t xml:space="preserve"> 且没有负载时仅登记准备通知；Demo 对这两种 dataType 即使带文件也直接返回，不解析文件。正式服务带文件时会继续处理。</w:t>
      </w:r>
    </w:p>
    <w:p>
      <w:pPr>
        <w:pStyle w:val="Heading1"/>
      </w:pPr>
      <w:r>
        <w:t>4 配置核查</w:t>
      </w:r>
    </w:p>
    <w:p>
      <w:pPr>
        <w:pStyle w:val="Heading2"/>
      </w:pPr>
      <w:r>
        <w:t>4.1 确认运行程序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1644"/>
        <w:gridCol w:w="3685"/>
      </w:tblGrid>
      <w:tr>
        <w:trPr>
          <w:cantSplit/>
          <w:tblHeader/>
        </w:trPr>
        <w:tc>
          <w:tcPr>
            <w:tcW w:type="dxa" w:w="1701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程序</w:t>
            </w:r>
          </w:p>
        </w:tc>
        <w:tc>
          <w:tcPr>
            <w:tcW w:type="dxa" w:w="2948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配置前缀</w:t>
            </w:r>
          </w:p>
        </w:tc>
        <w:tc>
          <w:tcPr>
            <w:tcW w:type="dxa" w:w="1644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默认端口</w:t>
            </w:r>
          </w:p>
        </w:tc>
        <w:tc>
          <w:tcPr>
            <w:tcW w:type="dxa" w:w="3685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/>
            </w:pPr>
            <w:r>
              <w:rPr>
                <w:sz w:val="18"/>
              </w:rPr>
              <w:t xml:space="preserve">正式 </w:t>
            </w:r>
            <w:r>
              <w:rPr>
                <w:rFonts w:ascii="DejaVu Sans Mono" w:hAnsi="DejaVu Sans Mono"/>
                <w:sz w:val="18"/>
              </w:rPr>
              <w:t>dts-admin</w:t>
            </w:r>
            <w:r>
              <w:rPr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dts.mdm.gateway</w:t>
            </w:r>
            <w:r>
              <w:rPr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80" w:before="60"/>
            </w:pPr>
            <w:r>
              <w:rPr>
                <w:sz w:val="18"/>
              </w:rPr>
              <w:t>容器 8081，标准发布 38012</w:t>
            </w:r>
          </w:p>
        </w:tc>
        <w:tc>
          <w:tcPr>
            <w:tcW w:type="dxa" w:w="3685"/>
          </w:tcPr>
          <w:p>
            <w:pPr>
              <w:spacing w:after="80" w:before="60"/>
            </w:pPr>
            <w:r>
              <w:rPr>
                <w:sz w:val="18"/>
              </w:rPr>
              <w:t>落盘并异步导入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mdmdemo</w:t>
            </w:r>
            <w:r>
              <w:rPr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mdm.demo</w:t>
            </w:r>
            <w:r>
              <w:rPr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80" w:before="60"/>
            </w:pPr>
            <w:r>
              <w:rPr>
                <w:sz w:val="18"/>
              </w:rPr>
              <w:t>18080</w:t>
            </w:r>
          </w:p>
        </w:tc>
        <w:tc>
          <w:tcPr>
            <w:tcW w:type="dxa" w:w="3685"/>
          </w:tcPr>
          <w:p>
            <w:pPr>
              <w:spacing w:after="80" w:before="60"/>
            </w:pPr>
            <w:r>
              <w:rPr>
                <w:sz w:val="18"/>
              </w:rPr>
              <w:t>落盘校验，不入库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mdm-upstream-mock</w:t>
            </w:r>
            <w:r>
              <w:rPr>
                <w:sz w:val="18"/>
              </w:rPr>
            </w:r>
          </w:p>
        </w:tc>
        <w:tc>
          <w:tcPr>
            <w:tcW w:type="dxa" w:w="2948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mdm.mock</w:t>
            </w:r>
            <w:r>
              <w:rPr>
                <w:sz w:val="18"/>
              </w:rPr>
            </w:r>
          </w:p>
        </w:tc>
        <w:tc>
          <w:tcPr>
            <w:tcW w:type="dxa" w:w="1644"/>
          </w:tcPr>
          <w:p>
            <w:pPr>
              <w:spacing w:after="80" w:before="60"/>
            </w:pPr>
            <w:r>
              <w:rPr>
                <w:sz w:val="18"/>
              </w:rPr>
              <w:t>28080</w:t>
            </w:r>
          </w:p>
        </w:tc>
        <w:tc>
          <w:tcPr>
            <w:tcW w:type="dxa" w:w="3685"/>
          </w:tcPr>
          <w:p>
            <w:pPr>
              <w:spacing w:after="80" w:before="60"/>
            </w:pPr>
            <w:r>
              <w:rPr>
                <w:sz w:val="18"/>
              </w:rPr>
              <w:t>模拟院方推送</w:t>
            </w:r>
          </w:p>
        </w:tc>
      </w:tr>
    </w:tbl>
    <w:p>
      <w:pPr>
        <w:spacing w:after="20"/>
      </w:pPr>
    </w:p>
    <w:p>
      <w:r>
        <w:t xml:space="preserve">Demo 的 </w:t>
      </w:r>
      <w:r>
        <w:rPr>
          <w:rFonts w:ascii="DejaVu Sans Mono" w:hAnsi="DejaVu Sans Mono"/>
          <w:sz w:val="17"/>
        </w:rPr>
        <w:t>application.yml</w:t>
      </w:r>
      <w:r>
        <w:t xml:space="preserve"> 不能作为正式服务配置直接使用。</w:t>
      </w:r>
      <w:r>
        <w:rPr>
          <w:rFonts w:ascii="DejaVu Sans Mono" w:hAnsi="DejaVu Sans Mono"/>
          <w:sz w:val="17"/>
        </w:rPr>
        <w:t>DTS_MDM_GATEWAY_*</w:t>
      </w:r>
      <w:r>
        <w:t xml:space="preserve"> 不是 Demo 的配置前缀。Demo 握手 </w:t>
      </w:r>
      <w:r>
        <w:rPr>
          <w:rFonts w:ascii="DejaVu Sans Mono" w:hAnsi="DejaVu Sans Mono"/>
          <w:sz w:val="17"/>
        </w:rPr>
        <w:t>sysCode=BI9010</w:t>
      </w:r>
      <w:r>
        <w:t xml:space="preserve"> 等 JSON 字段及表单参数在 </w:t>
      </w:r>
      <w:r>
        <w:rPr>
          <w:rFonts w:ascii="DejaVu Sans Mono" w:hAnsi="DejaVu Sans Mono"/>
          <w:sz w:val="17"/>
        </w:rPr>
        <w:t>MdmDemoService.handshake()</w:t>
      </w:r>
      <w:r>
        <w:t xml:space="preserve"> 内写死，修改 </w:t>
      </w:r>
      <w:r>
        <w:rPr>
          <w:rFonts w:ascii="DejaVu Sans Mono" w:hAnsi="DejaVu Sans Mono"/>
          <w:sz w:val="17"/>
        </w:rPr>
        <w:t>registry.*</w:t>
      </w:r>
      <w:r>
        <w:t xml:space="preserve"> 不会改变这些请求值。</w:t>
      </w:r>
    </w:p>
    <w:p>
      <w:pPr>
        <w:pStyle w:val="Heading2"/>
      </w:pPr>
      <w:r>
        <w:t>4.2 核对文件是否真正加载</w:t>
      </w:r>
    </w:p>
    <w:p>
      <w:r>
        <w:t xml:space="preserve">正式 Compose 将宿主 </w:t>
      </w:r>
      <w:r>
        <w:rPr>
          <w:rFonts w:ascii="DejaVu Sans Mono" w:hAnsi="DejaVu Sans Mono"/>
          <w:sz w:val="17"/>
        </w:rPr>
        <w:t>./config</w:t>
      </w:r>
      <w:r>
        <w:t xml:space="preserve"> 挂到 </w:t>
      </w:r>
      <w:r>
        <w:rPr>
          <w:rFonts w:ascii="DejaVu Sans Mono" w:hAnsi="DejaVu Sans Mono"/>
          <w:sz w:val="17"/>
        </w:rPr>
        <w:t>/opt/dts/config</w:t>
      </w:r>
      <w:r>
        <w:t xml:space="preserve">，通过 </w:t>
      </w:r>
      <w:r>
        <w:rPr>
          <w:rFonts w:ascii="DejaVu Sans Mono" w:hAnsi="DejaVu Sans Mono"/>
          <w:sz w:val="17"/>
        </w:rPr>
        <w:t>SPRING_CONFIG_IMPORT</w:t>
      </w:r>
      <w:r>
        <w:t xml:space="preserve"> 导入 </w:t>
      </w:r>
      <w:r>
        <w:rPr>
          <w:rFonts w:ascii="DejaVu Sans Mono" w:hAnsi="DejaVu Sans Mono"/>
          <w:sz w:val="17"/>
        </w:rPr>
        <w:t>/opt/dts/config/mdm/mdm-gateway.yml</w:t>
      </w:r>
      <w:r>
        <w:t xml:space="preserve">；导入为 </w:t>
      </w:r>
      <w:r>
        <w:rPr>
          <w:rFonts w:ascii="DejaVu Sans Mono" w:hAnsi="DejaVu Sans Mono"/>
          <w:sz w:val="17"/>
        </w:rPr>
        <w:t>optional</w:t>
      </w:r>
      <w:r>
        <w:t>，文件缺失不一定阻止启动。</w:t>
      </w:r>
    </w:p>
    <w:p>
      <w:pPr>
        <w:pStyle w:val="CodeBlock"/>
        <w:shd w:fill="F2F2F2"/>
      </w:pPr>
      <w:r>
        <w:t># 只显示 MDM 环境和配置加载入口，隐藏 token/secret 值；不要输出完整容器环境。</w:t>
      </w:r>
    </w:p>
    <w:p>
      <w:pPr>
        <w:pStyle w:val="CodeBlock"/>
        <w:shd w:fill="F2F2F2"/>
      </w:pPr>
      <w:r>
        <w:t>docker inspect &lt;容器ID&gt; --format '{{json .Config.Env}}' |</w:t>
      </w:r>
    </w:p>
    <w:p>
      <w:pPr>
        <w:pStyle w:val="CodeBlock"/>
        <w:shd w:fill="F2F2F2"/>
      </w:pPr>
      <w:r>
        <w:t xml:space="preserve">  python3 -c 'import json,sys; rows=json.load(sys.stdin); print("\n".join((s.split("=",1)[0]+"=&lt;redacted&gt;" if any(w in s.split("=",1)[0].upper() for w in ("TOKEN","SECRET","PASSWORD")) else s) for s in rows if s.startswith(("DTS_MDM_","SPRING_CONFIG_"))))'</w:t>
      </w:r>
    </w:p>
    <w:p>
      <w:pPr>
        <w:pStyle w:val="CodeBlock"/>
        <w:shd w:fill="F2F2F2"/>
      </w:pPr>
      <w:r>
        <w:t>docker exec &lt;容器ID&gt; sh -c 'test -r /opt/dts/config/mdm/mdm-gateway.yml &amp;&amp; echo MDM_CONFIG_READABLE'</w:t>
      </w:r>
    </w:p>
    <w:p>
      <w:r>
        <w:t xml:space="preserve">按容器 Compose 标签找到实际 </w:t>
      </w:r>
      <w:r>
        <w:rPr>
          <w:rFonts w:ascii="DejaVu Sans Mono" w:hAnsi="DejaVu Sans Mono"/>
          <w:sz w:val="17"/>
        </w:rPr>
        <w:t>-p</w:t>
      </w:r>
      <w:r>
        <w:t>、</w:t>
      </w:r>
      <w:r>
        <w:rPr>
          <w:rFonts w:ascii="DejaVu Sans Mono" w:hAnsi="DejaVu Sans Mono"/>
          <w:sz w:val="17"/>
        </w:rPr>
        <w:t>-f</w:t>
      </w:r>
      <w:r>
        <w:t xml:space="preserve">、环境文件组合，在部署目录使用同一组合执行 </w:t>
      </w:r>
      <w:r>
        <w:rPr>
          <w:rFonts w:ascii="DejaVu Sans Mono" w:hAnsi="DejaVu Sans Mono"/>
          <w:sz w:val="17"/>
        </w:rPr>
        <w:t>docker compose ... config --quiet</w:t>
      </w:r>
      <w:r>
        <w:t xml:space="preserve"> 做语法核对，并在现场对照渲染后的 </w:t>
      </w:r>
      <w:r>
        <w:rPr>
          <w:rFonts w:ascii="DejaVu Sans Mono" w:hAnsi="DejaVu Sans Mono"/>
          <w:sz w:val="17"/>
        </w:rPr>
        <w:t>dts-admin.environment</w:t>
      </w:r>
      <w:r>
        <w:t xml:space="preserve"> 与上述实际容器环境。渲染输出可能包含密钥，不要直接外发。</w:t>
      </w:r>
    </w:p>
    <w:p>
      <w:r/>
      <w:r>
        <w:rPr>
          <w:rFonts w:ascii="DejaVu Sans Mono" w:hAnsi="DejaVu Sans Mono"/>
          <w:sz w:val="17"/>
        </w:rPr>
        <w:t>.env</w:t>
      </w:r>
      <w:r>
        <w:t xml:space="preserve"> 供 Compose 插值，不代表所有变量自动进入容器。当前 </w:t>
      </w:r>
      <w:r>
        <w:rPr>
          <w:rFonts w:ascii="DejaVu Sans Mono" w:hAnsi="DejaVu Sans Mono"/>
          <w:sz w:val="17"/>
        </w:rPr>
        <w:t>docker-compose-app.yml</w:t>
      </w:r>
      <w:r>
        <w:t>、</w:t>
      </w:r>
      <w:r>
        <w:rPr>
          <w:rFonts w:ascii="DejaVu Sans Mono" w:hAnsi="DejaVu Sans Mono"/>
          <w:sz w:val="17"/>
        </w:rPr>
        <w:t>docker-compose.legacy.yml</w:t>
      </w:r>
      <w:r>
        <w:t xml:space="preserve"> 未透传 </w:t>
      </w:r>
      <w:r>
        <w:rPr>
          <w:rFonts w:ascii="DejaVu Sans Mono" w:hAnsi="DejaVu Sans Mono"/>
          <w:sz w:val="17"/>
        </w:rPr>
        <w:t>DTS_MDM_GATEWAY_UPSTREAM_TARGET_NODE_CODE</w:t>
      </w:r>
      <w:r>
        <w:t>、</w:t>
      </w:r>
      <w:r>
        <w:rPr>
          <w:rFonts w:ascii="DejaVu Sans Mono" w:hAnsi="DejaVu Sans Mono"/>
          <w:sz w:val="17"/>
        </w:rPr>
        <w:t>TARGET_DOMAIN_CODE</w:t>
      </w:r>
      <w:r>
        <w:t>、</w:t>
      </w:r>
      <w:r>
        <w:rPr>
          <w:rFonts w:ascii="DejaVu Sans Mono" w:hAnsi="DejaVu Sans Mono"/>
          <w:sz w:val="17"/>
        </w:rPr>
        <w:t>TARGET_SERVICE_ID</w:t>
      </w:r>
      <w:r>
        <w:t>、</w:t>
      </w:r>
      <w:r>
        <w:rPr>
          <w:rFonts w:ascii="DejaVu Sans Mono" w:hAnsi="DejaVu Sans Mono"/>
          <w:sz w:val="17"/>
        </w:rPr>
        <w:t>SOURCE_SERVICE_ID</w:t>
      </w:r>
      <w:r>
        <w:t>、</w:t>
      </w:r>
      <w:r>
        <w:rPr>
          <w:rFonts w:ascii="DejaVu Sans Mono" w:hAnsi="DejaVu Sans Mono"/>
          <w:sz w:val="17"/>
        </w:rPr>
        <w:t>APPROVAL</w:t>
      </w:r>
      <w:r>
        <w:t>、</w:t>
      </w:r>
      <w:r>
        <w:rPr>
          <w:rFonts w:ascii="DejaVu Sans Mono" w:hAnsi="DejaVu Sans Mono"/>
          <w:sz w:val="17"/>
        </w:rPr>
        <w:t>TITLE</w:t>
      </w:r>
      <w:r>
        <w:t>、</w:t>
      </w:r>
      <w:r>
        <w:rPr>
          <w:rFonts w:ascii="DejaVu Sans Mono" w:hAnsi="DejaVu Sans Mono"/>
          <w:sz w:val="17"/>
        </w:rPr>
        <w:t>DATA_TYPE</w:t>
      </w:r>
      <w:r>
        <w:t>、</w:t>
      </w:r>
      <w:r>
        <w:rPr>
          <w:rFonts w:ascii="DejaVu Sans Mono" w:hAnsi="DejaVu Sans Mono"/>
          <w:sz w:val="17"/>
        </w:rPr>
        <w:t>SECURITY_LEVEL</w:t>
      </w:r>
      <w:r>
        <w:t>、</w:t>
      </w:r>
      <w:r>
        <w:rPr>
          <w:rFonts w:ascii="DejaVu Sans Mono" w:hAnsi="DejaVu Sans Mono"/>
          <w:sz w:val="17"/>
        </w:rPr>
        <w:t>FILED_TYPE</w:t>
      </w:r>
      <w:r>
        <w:t>、</w:t>
      </w:r>
      <w:r>
        <w:rPr>
          <w:rFonts w:ascii="DejaVu Sans Mono" w:hAnsi="DejaVu Sans Mono"/>
          <w:sz w:val="17"/>
        </w:rPr>
        <w:t>VERSION</w:t>
      </w:r>
      <w:r>
        <w:t>、</w:t>
      </w:r>
      <w:r>
        <w:rPr>
          <w:rFonts w:ascii="DejaVu Sans Mono" w:hAnsi="DejaVu Sans Mono"/>
          <w:sz w:val="17"/>
        </w:rPr>
        <w:t>PUSH_MODE</w:t>
      </w:r>
      <w:r>
        <w:t xml:space="preserve">（后续项均带相同 </w:t>
      </w:r>
      <w:r>
        <w:rPr>
          <w:rFonts w:ascii="DejaVu Sans Mono" w:hAnsi="DejaVu Sans Mono"/>
          <w:sz w:val="17"/>
        </w:rPr>
        <w:t>DTS_MDM_GATEWAY_UPSTREAM_</w:t>
      </w:r>
      <w:r>
        <w:t xml:space="preserve"> 前缀）。只在 </w:t>
      </w:r>
      <w:r>
        <w:rPr>
          <w:rFonts w:ascii="DejaVu Sans Mono" w:hAnsi="DejaVu Sans Mono"/>
          <w:sz w:val="17"/>
        </w:rPr>
        <w:t>.env</w:t>
      </w:r>
      <w:r>
        <w:t xml:space="preserve"> 新增这些键不足以覆盖文件占位符默认值；须核实实际容器环境或已加载 YAML 中的值。</w:t>
      </w:r>
    </w:p>
    <w:p>
      <w:r>
        <w:t xml:space="preserve">环境变量占位符还可能覆盖操作者只修改的 YAML 默认值。修改环境后仅 </w:t>
      </w:r>
      <w:r>
        <w:rPr>
          <w:rFonts w:ascii="DejaVu Sans Mono" w:hAnsi="DejaVu Sans Mono"/>
          <w:sz w:val="17"/>
        </w:rPr>
        <w:t>docker restart</w:t>
      </w:r>
      <w:r>
        <w:t xml:space="preserve"> 不会刷新容器创建时的环境；需通过原正式发布流程重建该服务容器，再核对环境与挂载。</w:t>
      </w:r>
    </w:p>
    <w:p>
      <w:pPr>
        <w:pStyle w:val="Heading2"/>
      </w:pPr>
      <w:r>
        <w:t>4.3 高风险配置项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597"/>
      </w:tblGrid>
      <w:tr>
        <w:trPr>
          <w:cantSplit/>
          <w:tblHeader/>
        </w:trPr>
        <w:tc>
          <w:tcPr>
            <w:tcW w:type="dxa" w:w="2381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7597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核对内容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upstream.base-url</w:t>
            </w:r>
            <w:r>
              <w:rPr>
                <w:sz w:val="18"/>
              </w:rPr>
              <w:t xml:space="preserve"> + </w:t>
            </w:r>
            <w:r>
              <w:rPr>
                <w:rFonts w:ascii="DejaVu Sans Mono" w:hAnsi="DejaVu Sans Mono"/>
                <w:sz w:val="18"/>
              </w:rPr>
              <w:t>pull-path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 xml:space="preserve">代码直接拼接；path 应有前导 </w:t>
            </w:r>
            <w:r>
              <w:rPr>
                <w:rFonts w:ascii="DejaVu Sans Mono" w:hAnsi="DejaVu Sans Mono"/>
                <w:sz w:val="18"/>
              </w:rPr>
              <w:t>/</w:t>
            </w:r>
            <w:r>
              <w:rPr>
                <w:sz w:val="18"/>
              </w:rPr>
              <w:t xml:space="preserve">，不要重复路径。正式服务仅发 POST，不能把 GET </w:t>
            </w:r>
            <w:r>
              <w:rPr>
                <w:rFonts w:ascii="DejaVu Sans Mono" w:hAnsi="DejaVu Sans Mono"/>
                <w:sz w:val="18"/>
              </w:rPr>
              <w:t>v1/users/</w:t>
            </w:r>
            <w:r>
              <w:rPr>
                <w:sz w:val="18"/>
              </w:rPr>
              <w:t xml:space="preserve"> 或 </w:t>
            </w:r>
            <w:r>
              <w:rPr>
                <w:rFonts w:ascii="DejaVu Sans Mono" w:hAnsi="DejaVu Sans Mono"/>
                <w:sz w:val="18"/>
              </w:rPr>
              <w:t>v1/depts/</w:t>
            </w:r>
            <w:r>
              <w:rPr>
                <w:sz w:val="18"/>
              </w:rPr>
              <w:t xml:space="preserve"> 填成握手接口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localhost:28080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>在容器中指容器自己；应使用容器可达的真实院方地址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callback.url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>当前正式握手代码不自动发送此值，也不自动发送 callbackSecret。应核对院方实际登记地址；Mock 使用自己的 callback-url 或表单 callbackUrl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registry.system-code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 xml:space="preserve">外部 YAML 使用 </w:t>
            </w:r>
            <w:r>
              <w:rPr>
                <w:rFonts w:ascii="DejaVu Sans Mono" w:hAnsi="DejaVu Sans Mono"/>
                <w:sz w:val="18"/>
              </w:rPr>
              <w:t>sysCode</w:t>
            </w:r>
            <w:r>
              <w:rPr>
                <w:sz w:val="18"/>
              </w:rPr>
              <w:t xml:space="preserve"> 别名，但 Java 默认 </w:t>
            </w:r>
            <w:r>
              <w:rPr>
                <w:rFonts w:ascii="DejaVu Sans Mono" w:hAnsi="DejaVu Sans Mono"/>
                <w:sz w:val="18"/>
              </w:rPr>
              <w:t>systemCode=10XT</w:t>
            </w:r>
            <w:r>
              <w:rPr>
                <w:sz w:val="18"/>
              </w:rPr>
              <w:t>，setter 仅在 systemCode 为空时采纳 sysCode。不要只改 sysCode；优先规范键 system-code 或其明确环境变量，并查实际出站文件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  <w:t xml:space="preserve">两处 </w:t>
            </w:r>
            <w:r>
              <w:rPr>
                <w:rFonts w:ascii="DejaVu Sans Mono" w:hAnsi="DejaVu Sans Mono"/>
                <w:sz w:val="18"/>
              </w:rPr>
              <w:t>dataType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>registry 中是文件 JSON 字段；</w:t>
            </w:r>
            <w:r>
              <w:rPr>
                <w:rFonts w:ascii="DejaVu Sans Mono" w:hAnsi="DejaVu Sans Mono"/>
                <w:sz w:val="18"/>
              </w:rPr>
              <w:t>upstream.form-params.dataType</w:t>
            </w:r>
            <w:r>
              <w:rPr>
                <w:sz w:val="18"/>
              </w:rPr>
              <w:t xml:space="preserve"> 是外部表单字段，独立配置。示例默认分别为 sync-demand 和 9000，必须按院方协议逐项确认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upstream.auth-token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>代码自动添加 Bearer 前缀，配置中只填令牌本体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callback.auth-token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/>
                <w:sz w:val="18"/>
              </w:rPr>
              <w:t>signature-header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>回调在指定头中传匹配值，默认 X-Signature。正式服务未 trim 配置值，注意前后空格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callback.allowed-ips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>属性存在，但当前 MDM Java 接收链路未见执行校验，不能依赖其作为来源限制，也不要据此推断回调被拦截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60"/>
            </w:pPr>
            <w:r>
              <w:rPr>
                <w:sz w:val="18"/>
              </w:rPr>
            </w:r>
            <w:r>
              <w:rPr>
                <w:rFonts w:ascii="DejaVu Sans Mono" w:hAnsi="DejaVu Sans Mono"/>
                <w:sz w:val="18"/>
              </w:rPr>
              <w:t>storage-path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/>
                <w:sz w:val="18"/>
              </w:rPr>
              <w:t>log-path</w:t>
            </w:r>
            <w:r>
              <w:rPr>
                <w:sz w:val="18"/>
              </w:rPr>
            </w:r>
          </w:p>
        </w:tc>
        <w:tc>
          <w:tcPr>
            <w:tcW w:type="dxa" w:w="7597"/>
          </w:tcPr>
          <w:p>
            <w:pPr>
              <w:spacing w:after="80" w:before="60"/>
            </w:pPr>
            <w:r>
              <w:rPr>
                <w:sz w:val="18"/>
              </w:rPr>
              <w:t>使用容器内路径，核对持久化挂载、运行用户权限、磁盘空间；不要直接填写只在宿主存在的路径</w:t>
            </w:r>
          </w:p>
        </w:tc>
      </w:tr>
    </w:tbl>
    <w:p>
      <w:pPr>
        <w:spacing w:after="20"/>
      </w:pPr>
    </w:p>
    <w:p>
      <w:r>
        <w:t xml:space="preserve">页面组织全量同步入口还会把 registry 的 sync-demand 改为文件中的 full，并用秒级 sendTime；直接 </w:t>
      </w:r>
      <w:r>
        <w:rPr>
          <w:rFonts w:ascii="DejaVu Sans Mono" w:hAnsi="DejaVu Sans Mono"/>
          <w:sz w:val="17"/>
        </w:rPr>
        <w:t>/handshake</w:t>
      </w:r>
      <w:r>
        <w:t xml:space="preserve"> 默认使用毫秒 sendTime。现场对账时记录具体触发入口，不能假设两种请求完全相同。</w:t>
      </w:r>
    </w:p>
    <w:p>
      <w:pPr>
        <w:pStyle w:val="Heading1"/>
      </w:pPr>
      <w:r>
        <w:t>5 已确认的文档与实现差异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288"/>
        <w:gridCol w:w="4592"/>
      </w:tblGrid>
      <w:tr>
        <w:trPr>
          <w:cantSplit/>
          <w:tblHeader/>
        </w:trPr>
        <w:tc>
          <w:tcPr>
            <w:tcW w:type="dxa" w:w="2098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288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差异与影响</w:t>
            </w:r>
          </w:p>
        </w:tc>
        <w:tc>
          <w:tcPr>
            <w:tcW w:type="dxa" w:w="4592"/>
            <w:shd w:fill="E6E6E6"/>
          </w:tcPr>
          <w:p>
            <w:pPr>
              <w:spacing w:after="80" w:before="60"/>
            </w:pPr>
            <w:r>
              <w:rPr>
                <w:b/>
                <w:sz w:val="18"/>
              </w:rPr>
              <w:t>处理和验收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P1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 xml:space="preserve">旧发布文档使用 </w:t>
            </w:r>
            <w:r>
              <w:rPr>
                <w:rFonts w:ascii="DejaVu Sans Mono" w:hAnsi="DejaVu Sans Mono"/>
                <w:sz w:val="18"/>
              </w:rPr>
              <w:t>/api/mdm/callback</w:t>
            </w:r>
            <w:r>
              <w:rPr>
                <w:sz w:val="18"/>
              </w:rPr>
              <w:t xml:space="preserve"> 和原始 JSON，当前控制器只有 </w:t>
            </w:r>
            <w:r>
              <w:rPr>
                <w:rFonts w:ascii="DejaVu Sans Mono" w:hAnsi="DejaVu Sans Mono"/>
                <w:sz w:val="18"/>
              </w:rPr>
              <w:t>/receive</w:t>
            </w:r>
            <w:r>
              <w:rPr>
                <w:sz w:val="18"/>
              </w:rPr>
              <w:t xml:space="preserve"> 等入口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改用实际 multipart 接口；确认 saved 后再查导入结果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P1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旧发布文档称缺字段仅告警，当前代码终止整批导入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修正源数据缺字段；验证 validation 告警消失且导入数量匹配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P1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JSON 解析失败返回 null，空集合通过必填检查，异步异常不反馈给已返回请求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联合解析日志、记录数和导入批次判定成功；这是代码行为缺口，配置无法补齐错误反馈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P1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Demo 系统字段硬编码；部分 Compose 变量未透传；sysCode 别名受默认值遮挡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按第 4 节逐项确认真实请求，不能以配置文件编辑成功为准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P2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Mock 仅用 user 和 orgId/orgIt 判断上传文件是否为业务数据，users/depts 文件可能被替换成内置样例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用正式端原始落盘文件比对摘要和业务计数；Mock 成功不证明原文件已处理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P2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Mock 回调失败仍可能外层 HTTP 200、status=ok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查看 callbackStatus、callbackMessage 和正式端日志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P2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Mock README 宣称默认 large 样例，实际 YAML 默认 orgs-users.json；Demo 只提取 users/depts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核对实际文件路径和结构，不用文档样例数量代替实际数量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80" w:before="60"/>
            </w:pPr>
            <w:r>
              <w:rPr>
                <w:sz w:val="18"/>
              </w:rPr>
              <w:t>P2</w:t>
            </w:r>
          </w:p>
        </w:tc>
        <w:tc>
          <w:tcPr>
            <w:tcW w:type="dxa" w:w="3288"/>
          </w:tcPr>
          <w:p>
            <w:pPr>
              <w:spacing w:after="80" w:before="60"/>
            </w:pPr>
            <w:r>
              <w:rPr>
                <w:sz w:val="18"/>
              </w:rPr>
              <w:t>mdmref.docx 描述 GET v1/depts/、v1/users/，当前网关实现 POST 请求推送和回调</w:t>
            </w:r>
          </w:p>
        </w:tc>
        <w:tc>
          <w:tcPr>
            <w:tcW w:type="dxa" w:w="4592"/>
          </w:tcPr>
          <w:p>
            <w:pPr>
              <w:spacing w:after="80" w:before="60"/>
            </w:pPr>
            <w:r>
              <w:rPr>
                <w:sz w:val="18"/>
              </w:rPr>
              <w:t>先确认院方采用哪个协议；不是简单改 URL 就能转换</w:t>
            </w:r>
          </w:p>
        </w:tc>
      </w:tr>
    </w:tbl>
    <w:p>
      <w:pPr>
        <w:spacing w:after="20"/>
      </w:pPr>
    </w:p>
    <w:p>
      <w:r>
        <w:t>本次仅输出排障文档，未修改以上代码缺口。</w:t>
      </w:r>
    </w:p>
    <w:p>
      <w:pPr>
        <w:pStyle w:val="Heading1"/>
      </w:pPr>
      <w:r>
        <w:t>6 修复后验收与回滚</w:t>
      </w:r>
    </w:p>
    <w:p>
      <w:pPr>
        <w:ind w:left="198"/>
      </w:pPr>
      <w:r>
        <w:t>1. 保存旧配置、失败文件和日志，记录现场镜像 ID、交付版本、Compose 组合和修改项。</w:t>
      </w:r>
    </w:p>
    <w:p>
      <w:pPr>
        <w:ind w:left="198"/>
      </w:pPr>
      <w:r>
        <w:t xml:space="preserve">2. 只修改已被证据确认的配置或源数据格式。涉及代码修复须在开发目录提交并推送，再由 </w:t>
      </w:r>
      <w:r>
        <w:rPr>
          <w:rFonts w:ascii="DejaVu Sans Mono" w:hAnsi="DejaVu Sans Mono"/>
          <w:sz w:val="17"/>
        </w:rPr>
        <w:t>/opt/prod/s10/deploy</w:t>
      </w:r>
      <w:r>
        <w:t xml:space="preserve"> 快进同步 SHA，走正式测试、构建和发布；不得容器内打补丁。</w:t>
      </w:r>
    </w:p>
    <w:p>
      <w:pPr>
        <w:ind w:left="198"/>
      </w:pPr>
      <w:r>
        <w:t>3. 源数据修正后，选择一批经现场确认可重放的数据，仅触发一次。重放可能更新组织、人员和 Keycloak，不使用本文示例向生产造数据。</w:t>
      </w:r>
    </w:p>
    <w:p>
      <w:pPr>
        <w:ind w:left="198"/>
      </w:pPr>
      <w:r>
        <w:t xml:space="preserve">4. 核对 </w:t>
      </w:r>
      <w:r>
        <w:rPr>
          <w:rFonts w:ascii="DejaVu Sans Mono" w:hAnsi="DejaVu Sans Mono"/>
          <w:sz w:val="17"/>
        </w:rPr>
        <w:t>saved</w:t>
      </w:r>
      <w:r>
        <w:t xml:space="preserve"> 文件大小与摘要，确认 </w:t>
      </w:r>
      <w:r>
        <w:rPr>
          <w:rFonts w:ascii="DejaVu Sans Mono" w:hAnsi="DejaVu Sans Mono"/>
          <w:sz w:val="17"/>
        </w:rPr>
        <w:t>parsed</w:t>
      </w:r>
      <w:r>
        <w:t xml:space="preserve"> 的人员和组织数符合该批预期，无解析和必填告警。</w:t>
      </w:r>
    </w:p>
    <w:p>
      <w:pPr>
        <w:ind w:left="198"/>
      </w:pPr>
      <w:r>
        <w:t>5. 核对组织 applied、人员 success/failed、导入批次失败明细及实际页面记录。抽查部门归属、人员状态和所需 Keycloak 结果；文件接收、数据库导入、页面验收分别记录。</w:t>
      </w:r>
    </w:p>
    <w:p>
      <w:pPr>
        <w:ind w:left="198"/>
      </w:pPr>
      <w:r>
        <w:t>6. 配置回退通过原 Compose/发布流程恢复旧配置和服务。</w:t>
      </w:r>
      <w:r>
        <w:rPr>
          <w:b/>
        </w:rPr>
        <w:t>配置回退不会撤销已经导入的数据</w:t>
      </w:r>
      <w:r>
        <w:t>；部分导入须按批次评估，不清空业务表重试。</w:t>
      </w:r>
    </w:p>
    <w:p>
      <w:pPr>
        <w:pStyle w:val="Heading1"/>
      </w:pPr>
      <w:r>
        <w:t>7 回传给研发的最小信息</w:t>
      </w:r>
    </w:p>
    <w:p>
      <w:pPr>
        <w:ind w:left="198"/>
      </w:pPr>
      <w:r>
        <w:t>- 发生时间、现场版本/镜像、运行程序、触发入口、错误提示。</w:t>
      </w:r>
    </w:p>
    <w:p>
      <w:pPr>
        <w:ind w:left="198"/>
      </w:pPr>
      <w:r>
        <w:t>- 对应文件大小、SHA-256、编码检查结果、顶层字段及集合类型/数量。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parse-object</w:t>
      </w:r>
      <w:r>
        <w:t>、</w:t>
      </w:r>
      <w:r>
        <w:rPr>
          <w:rFonts w:ascii="DejaVu Sans Mono" w:hAnsi="DejaVu Sans Mono"/>
          <w:sz w:val="17"/>
        </w:rPr>
        <w:t>validation failed</w:t>
      </w:r>
      <w:r>
        <w:t>、</w:t>
      </w:r>
      <w:r>
        <w:rPr>
          <w:rFonts w:ascii="DejaVu Sans Mono" w:hAnsi="DejaVu Sans Mono"/>
          <w:sz w:val="17"/>
        </w:rPr>
        <w:t>async.failed</w:t>
      </w:r>
      <w:r>
        <w:t>、</w:t>
      </w:r>
      <w:r>
        <w:rPr>
          <w:rFonts w:ascii="DejaVu Sans Mono" w:hAnsi="DejaVu Sans Mono"/>
          <w:sz w:val="17"/>
        </w:rPr>
        <w:t>import.users</w:t>
      </w:r>
      <w:r>
        <w:t xml:space="preserve"> 周边日志；异常保留完整堆栈。</w:t>
      </w:r>
    </w:p>
    <w:p>
      <w:pPr>
        <w:ind w:left="198"/>
      </w:pPr>
      <w:r>
        <w:t>- 缺字段记录的序号及字段名；必要时提供保持原始结构、类型和空值特征的脱敏样本。</w:t>
      </w:r>
    </w:p>
    <w:p>
      <w:pPr>
        <w:ind w:left="198"/>
      </w:pPr>
      <w:r>
        <w:t>- 配置实际加载路径、MDM 非敏感环境值、挂载与端口。令牌只说明是否配置及头名，不提供明文。</w:t>
      </w:r>
    </w:p>
    <w:p>
      <w:pPr>
        <w:pStyle w:val="Heading1"/>
      </w:pPr>
      <w:r>
        <w:t>源码核查位置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source/dts-admin/src/main/java/com/yuzhi/dts/admin/service/mdm/MdmGatewayService.java</w:t>
      </w:r>
      <w:r>
        <w:t>：解析、落盘、必填校验、异步导入与请求组装。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source/dts-admin/src/main/java/com/yuzhi/dts/admin/web/rest/MdmGatewayResource.java</w:t>
      </w:r>
      <w:r>
        <w:t>：入口、file 部件和请求参数。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source/dts-admin/src/main/java/com/yuzhi/dts/admin/config/MdmGatewayProperties.java</w:t>
      </w:r>
      <w:r>
        <w:t>：配置绑定与默认值。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source/dts-admin/src/main/java/com/yuzhi/dts/admin/service/OrganizationSyncService.java</w:t>
      </w:r>
      <w:r>
        <w:t>：页面同步请求差异。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config/mdm/mdm-gateway.yml</w:t>
      </w:r>
      <w:r>
        <w:t>、</w:t>
      </w:r>
      <w:r>
        <w:rPr>
          <w:rFonts w:ascii="DejaVu Sans Mono" w:hAnsi="DejaVu Sans Mono"/>
          <w:sz w:val="17"/>
        </w:rPr>
        <w:t>source/dts-admin/src/main/resources/config/application.yml</w:t>
      </w:r>
      <w:r>
        <w:t>、</w:t>
      </w:r>
      <w:r>
        <w:rPr>
          <w:rFonts w:ascii="DejaVu Sans Mono" w:hAnsi="DejaVu Sans Mono"/>
          <w:sz w:val="17"/>
        </w:rPr>
        <w:t>docker-compose-app.yml</w:t>
      </w:r>
      <w:r>
        <w:t>、</w:t>
      </w:r>
      <w:r>
        <w:rPr>
          <w:rFonts w:ascii="DejaVu Sans Mono" w:hAnsi="DejaVu Sans Mono"/>
          <w:sz w:val="17"/>
        </w:rPr>
        <w:t>docker-compose.legacy.yml</w:t>
      </w:r>
      <w:r>
        <w:t>、</w:t>
      </w:r>
      <w:r>
        <w:rPr>
          <w:rFonts w:ascii="DejaVu Sans Mono" w:hAnsi="DejaVu Sans Mono"/>
          <w:sz w:val="17"/>
        </w:rPr>
        <w:t>init.sh</w:t>
      </w:r>
      <w:r>
        <w:t>：加载路径、挂载与环境透传。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docs/intergration/mdm/mdmdemo/README.md</w:t>
      </w:r>
      <w:r>
        <w:t xml:space="preserve"> 及 </w:t>
      </w:r>
      <w:r>
        <w:rPr>
          <w:rFonts w:ascii="DejaVu Sans Mono" w:hAnsi="DejaVu Sans Mono"/>
          <w:sz w:val="17"/>
        </w:rPr>
        <w:t>MdmDemoService.java</w:t>
      </w:r>
      <w:r>
        <w:t>：Demo 配置和实际行为。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docs/intergration/mdm/mdm-upstream-mock/README.md</w:t>
      </w:r>
      <w:r>
        <w:t>、</w:t>
      </w:r>
      <w:r>
        <w:rPr>
          <w:rFonts w:ascii="DejaVu Sans Mono" w:hAnsi="DejaVu Sans Mono"/>
          <w:sz w:val="17"/>
        </w:rPr>
        <w:t>application.yml</w:t>
      </w:r>
      <w:r>
        <w:t>、</w:t>
      </w:r>
      <w:r>
        <w:rPr>
          <w:rFonts w:ascii="DejaVu Sans Mono" w:hAnsi="DejaVu Sans Mono"/>
          <w:sz w:val="17"/>
        </w:rPr>
        <w:t>UpstreamMockController.java</w:t>
      </w:r>
      <w:r>
        <w:t>：Mock 样例选择、回调与响应。</w:t>
      </w:r>
    </w:p>
    <w:p>
      <w:pPr>
        <w:ind w:left="198"/>
      </w:pPr>
      <w:r>
        <w:t xml:space="preserve">- </w:t>
      </w:r>
      <w:r>
        <w:rPr>
          <w:rFonts w:ascii="DejaVu Sans Mono" w:hAnsi="DejaVu Sans Mono"/>
          <w:sz w:val="17"/>
        </w:rPr>
        <w:t>docs/release/2025-11-17-mdm-sync.md</w:t>
      </w:r>
      <w:r>
        <w:t>、</w:t>
      </w:r>
      <w:r>
        <w:rPr>
          <w:rFonts w:ascii="DejaVu Sans Mono" w:hAnsi="DejaVu Sans Mono"/>
          <w:sz w:val="17"/>
        </w:rPr>
        <w:t>docs/intergration/mdm/mdmref.docx</w:t>
      </w:r>
      <w:r>
        <w:t>：历史接口与参考协议；Word 本次仅核对提取文本，未做版式审查。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MDM 现场排障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52" w:lineRule="auto"/>
    </w:pPr>
    <w:rPr>
      <w:rFonts w:ascii="DejaVu Sans Mono" w:hAnsi="DejaVu Sans Mono" w:eastAsia="Noto Sans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