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pPr>
      <w:r>
        <w:t xml:space="preserve">数据治理方案</w:t>
      </w:r>
    </w:p>
    <w:tbl>
      <w:tblPr>
        <w:tblW w:w="5000" w:type="pct"/>
        <w:tblLayout w:type="autofit"/>
        <w:tblLook w:val="04A0" w:firstRow="1" w:lastRow="0" w:firstColumn="1" w:lastColumn="0" w:noHBand="0" w:noVBand="1"/>
      </w:tblP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密级</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【由保密办公室定级：内部 / 秘密▲ / 机密▲】</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文档版本</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V1.0</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文档状态</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初稿（征求意见版）</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编制单位</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【单位名称占位】</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编制日期</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2026 年 7 月</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适用范围</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全所数据管理与数据平台建设相关工作</w:t>
            </w:r>
          </w:p>
        </w:tc>
      </w:tr>
    </w:tbl>
    <w:p/>
    <w:p>
      <w:pPr>
        <w:pStyle w:val="Heading2"/>
      </w:pPr>
      <w:r>
        <w:t xml:space="preserve">版本记录</w:t>
      </w:r>
    </w:p>
    <w:tbl>
      <w:tblPr>
        <w:tblW w:w="5000" w:type="pct"/>
        <w:tblLayout w:type="autofit"/>
        <w:tblLook w:val="04A0" w:firstRow="1" w:lastRow="0" w:firstColumn="1" w:lastColumn="0" w:noHBand="0" w:noVBand="1"/>
      </w:tblPr>
      <w:tr>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版本</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日期</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修订说明</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编制/修订人</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V1.0</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2026-07</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初稿</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【占位】</w:t>
            </w:r>
          </w:p>
        </w:tc>
      </w:tr>
    </w:tbl>
    <w:p/>
    <w:p>
      <w:pPr>
        <w:pStyle w:val="Heading2"/>
      </w:pPr>
      <w:r>
        <w:t xml:space="preserve">前言</w:t>
      </w:r>
    </w:p>
    <w:p>
      <w:pPr>
        <w:pStyle w:val="Heading3"/>
      </w:pPr>
      <w:r>
        <w:t xml:space="preserve">编制目的</w:t>
      </w:r>
    </w:p>
    <w:p>
      <w:r>
        <w:t xml:space="preserve">本方案面向本所数据管理工作的全局，回答三个问题：</w:t>
      </w:r>
      <w:r>
        <w:rPr>
          <w:b/>
          <w:bCs/>
        </w:rPr>
        <w:t xml:space="preserve">数据由谁管</w:t>
      </w:r>
      <w:r>
        <w:t xml:space="preserve">（组织与职责）、</w:t>
      </w:r>
      <w:r>
        <w:rPr>
          <w:b/>
          <w:bCs/>
        </w:rPr>
        <w:t xml:space="preserve">按什么规矩管</w:t>
      </w:r>
      <w:r>
        <w:t xml:space="preserve">（标准与制度）、</w:t>
      </w:r>
      <w:r>
        <w:rPr>
          <w:b/>
          <w:bCs/>
        </w:rPr>
        <w:t xml:space="preserve">分几步管到位</w:t>
      </w:r>
      <w:r>
        <w:t xml:space="preserve">（实施路线）。方案既是所领导决策数据治理工作的总体依据，也是各科室业务人员参与数据工作的操作指南。</w:t>
      </w:r>
    </w:p>
    <w:p>
      <w:pPr>
        <w:pStyle w:val="Heading3"/>
      </w:pPr>
      <w:r>
        <w:t xml:space="preserve">编制依据</w:t>
      </w:r>
    </w:p>
    <w:p>
      <w:pPr>
        <w:ind w:left="420" w:hanging="220"/>
        <w:spacing w:before="40" w:after="40"/>
      </w:pPr>
      <w:r>
        <w:t xml:space="preserve">• </w:t>
      </w:r>
      <w:r>
        <w:t xml:space="preserve">《中华人民共和国数据安全法》</w:t>
      </w:r>
    </w:p>
    <w:p>
      <w:pPr>
        <w:ind w:left="420" w:hanging="220"/>
        <w:spacing w:before="40" w:after="40"/>
      </w:pPr>
      <w:r>
        <w:t xml:space="preserve">• </w:t>
      </w:r>
      <w:r>
        <w:t xml:space="preserve">《中华人民共和国网络安全法》</w:t>
      </w:r>
    </w:p>
    <w:p>
      <w:pPr>
        <w:ind w:left="420" w:hanging="220"/>
        <w:spacing w:before="40" w:after="40"/>
      </w:pPr>
      <w:r>
        <w:t xml:space="preserve">• </w:t>
      </w:r>
      <w:r>
        <w:t xml:space="preserve">国家及行业保密管理有关法规与本所保密管理制度</w:t>
      </w:r>
    </w:p>
    <w:p>
      <w:pPr>
        <w:ind w:left="420" w:hanging="220"/>
        <w:spacing w:before="40" w:after="40"/>
      </w:pPr>
      <w:r>
        <w:t xml:space="preserve">• </w:t>
      </w:r>
      <w:r>
        <w:t xml:space="preserve">GB/T 36073《数据管理能力成熟度评估模型》（DCMM，作为方法论参考，对标关系见附录B）</w:t>
      </w:r>
    </w:p>
    <w:p>
      <w:pPr>
        <w:ind w:left="420" w:hanging="220"/>
        <w:spacing w:before="40" w:after="40"/>
      </w:pPr>
      <w:r>
        <w:t xml:space="preserve">• </w:t>
      </w:r>
      <w:r>
        <w:t xml:space="preserve">本所数据管理平台已有的数据模型设计、数据标准与指标口径成果</w:t>
      </w:r>
    </w:p>
    <w:p>
      <w:pPr>
        <w:pStyle w:val="Heading3"/>
      </w:pPr>
      <w:r>
        <w:t xml:space="preserve">读者指引</w:t>
      </w:r>
    </w:p>
    <w:p>
      <w:r>
        <w:t xml:space="preserve">本方案为三类读者设计了不同的阅读路径：</w:t>
      </w:r>
    </w:p>
    <w:tbl>
      <w:tblPr>
        <w:tblW w:w="5000" w:type="pct"/>
        <w:tblLayout w:type="autofit"/>
        <w:tblLook w:val="04A0" w:firstRow="1" w:lastRow="0" w:firstColumn="1" w:lastColumn="0" w:noHBand="0" w:noVBand="1"/>
      </w:tblPr>
      <w:tr>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读者</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建议阅读范围</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目的</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所领导、科室领导</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第一篇全部 + 各章"本章导读" + 第15章路线图</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掌握治理格局、组织安排与推进节奏</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数据管理与技术骨干</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第二篇（第5-13章）+ 第三篇</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掌握各治理域的规则、流程与落地要求</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业务科室填报与使用人员</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第16章操作指引 + 各章末"业务人员须知"</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知道自己该做什么、怎么做、找谁</w:t>
            </w:r>
          </w:p>
        </w:tc>
      </w:tr>
    </w:tbl>
    <w:p/>
    <w:p>
      <w:pPr>
        <w:pStyle w:val="Heading3"/>
      </w:pPr>
      <w:r>
        <w:t xml:space="preserve">术语与表述约定</w:t>
      </w:r>
    </w:p>
    <w:p>
      <w:pPr>
        <w:ind w:left="420" w:hanging="220"/>
        <w:spacing w:before="40" w:after="40"/>
      </w:pPr>
      <w:r>
        <w:t xml:space="preserve">• </w:t>
      </w:r>
      <w:r>
        <w:t xml:space="preserve">本方案使用通用能力名称描述数据管理平台的功能（如"数据集成""主数据管理""元数据管理"），不绑定具体软件产品；涉及归档存储时按本所既定技术路线写明为达梦数据库。</w:t>
      </w:r>
    </w:p>
    <w:p>
      <w:pPr>
        <w:ind w:left="420" w:hanging="220"/>
        <w:spacing w:before="40" w:after="40"/>
      </w:pPr>
      <w:r>
        <w:t xml:space="preserve">• </w:t>
      </w:r>
      <w:r>
        <w:t xml:space="preserve">数据仓库分层代号与中文名称对照：ODS（贴源层）、STG（结构化层）、DWD（明细层）、DWS（汇总层）、ADS（应用层）。首次阅读可参见附录A术语表。</w:t>
      </w:r>
    </w:p>
    <w:p>
      <w:pPr>
        <w:ind w:left="420" w:hanging="220"/>
        <w:spacing w:before="40" w:after="40"/>
      </w:pPr>
      <w:r>
        <w:t xml:space="preserve">• </w:t>
      </w:r>
      <w:r>
        <w:t xml:space="preserve">"业财一体化"（项目与财务数据贯通）在本方案中仅作为远期演进方向表述，视相关业务系统建设与数据成熟度分步推进，不构成任何阶段的承诺目标。</w:t>
      </w:r>
    </w:p>
    <w:p>
      <w:pPr>
        <w:pStyle w:val="Heading1"/>
        <w:pageBreakBefore/>
      </w:pPr>
      <w:r>
        <w:t>目录</w:t>
      </w:r>
    </w:p>
    <w:p>
      <w:r>
        <w:fldChar w:fldCharType="begin" w:dirty="true"/>
      </w:r>
      <w:r>
        <w:instrText xml:space="preserve"> TOC \o "1-2" \h \z \u </w:instrText>
      </w:r>
      <w:r>
        <w:fldChar w:fldCharType="separate"/>
      </w:r>
      <w:r>
        <w:t>（打开文档后如未显示目录，请全选后按 F9 更新域）</w:t>
      </w:r>
      <w:r>
        <w:fldChar w:fldCharType="end"/>
      </w:r>
    </w:p>
    <w:p>
      <w:pPr>
        <w:pStyle w:val="Heading1"/>
        <w:pageBreakBefore/>
      </w:pPr>
      <w:r>
        <w:t xml:space="preserve">第一篇 总体篇</w:t>
      </w:r>
    </w:p>
    <w:p>
      <w:pPr>
        <w:pStyle w:val="Heading1"/>
        <w:pageBreakBefore/>
      </w:pPr>
      <w:r>
        <w:t xml:space="preserve">第1章 背景与现状诊断</w:t>
      </w:r>
    </w:p>
    <w:p>
      <w:r>
        <w:rPr>
          <w:b/>
          <w:bCs/>
        </w:rPr>
        <w:t xml:space="preserve">【本章导读】</w:t>
      </w:r>
      <w:r>
        <w:t xml:space="preserve"> 本章说明为什么要在当前时点启动数据治理：本所以项目为核心组织科研生产，单个项目金额高、周期长，项目与财务是价值密度最高的两块数据；而当前数据以离线表格填报为主，口径、质量、责任都缺乏制度约束。结论是：</w:t>
      </w:r>
      <w:r>
        <w:rPr>
          <w:b/>
          <w:bCs/>
        </w:rPr>
        <w:t xml:space="preserve">先立标准与制度、先治存量填报数据，再随业务系统建设逐步接入在线数据</w:t>
      </w:r>
      <w:r>
        <w:t xml:space="preserve">，避免"垃圾进、垃圾出"。</w:t>
      </w:r>
    </w:p>
    <w:p>
      <w:pPr>
        <w:pStyle w:val="Heading2"/>
      </w:pPr>
      <w:r>
        <w:t xml:space="preserve">1.1 背景</w:t>
      </w:r>
    </w:p>
    <w:p>
      <w:r>
        <w:t xml:space="preserve">本所属于典型的项目型科研单位：科研生产活动以项目（型号/课题）为基本单元组织，项目贯穿立项论证、方案设计、研制生产、试验交付全过程。项目具有三个突出特征：</w:t>
      </w:r>
    </w:p>
    <w:p>
      <w:pPr>
        <w:ind w:left="420" w:hanging="220"/>
        <w:spacing w:before="40" w:after="40"/>
      </w:pPr>
      <w:r>
        <w:t xml:space="preserve">1. </w:t>
      </w:r>
      <w:r>
        <w:rPr>
          <w:b/>
          <w:bCs/>
        </w:rPr>
        <w:t xml:space="preserve">单体金额高</w:t>
      </w:r>
      <w:r>
        <w:t xml:space="preserve">。单个项目经费体量大，预算执行、成本归集、经费监管的精细化要求高，任何数据失真都会直接影响管理决策与审计合规。</w:t>
      </w:r>
    </w:p>
    <w:p>
      <w:pPr>
        <w:ind w:left="420" w:hanging="220"/>
        <w:spacing w:before="40" w:after="40"/>
      </w:pPr>
      <w:r>
        <w:t xml:space="preserve">2. </w:t>
      </w:r>
      <w:r>
        <w:rPr>
          <w:b/>
          <w:bCs/>
        </w:rPr>
        <w:t xml:space="preserve">管理要素多</w:t>
      </w:r>
      <w:r>
        <w:t xml:space="preserve">。一个项目同时承载进度节点、质量问题、风险台账、技术状态变更、物资采购、经费收支等多类管理数据，分散在不同部门、不同系统、不同表格中。</w:t>
      </w:r>
    </w:p>
    <w:p>
      <w:pPr>
        <w:ind w:left="420" w:hanging="220"/>
        <w:spacing w:before="40" w:after="40"/>
      </w:pPr>
      <w:r>
        <w:t xml:space="preserve">3. </w:t>
      </w:r>
      <w:r>
        <w:rPr>
          <w:b/>
          <w:bCs/>
        </w:rPr>
        <w:t xml:space="preserve">保密要求高</w:t>
      </w:r>
      <w:r>
        <w:t xml:space="preserve">。项目数据涉密程度高，数据的采集、存储、使用、共享、销毁各环节都必须置于保密管理体系之下。</w:t>
      </w:r>
    </w:p>
    <w:p>
      <w:r>
        <w:t xml:space="preserve">在此背景下，</w:t>
      </w:r>
      <w:r>
        <w:rPr>
          <w:b/>
          <w:bCs/>
        </w:rPr>
        <w:t xml:space="preserve">项目域数据（进度、质量、风险、技术状态）与财务域数据（项目预算、项目经费、成本）是本所价值密度最高、治理优先级最高的两类数据资产</w:t>
      </w:r>
      <w:r>
        <w:t xml:space="preserve">。这两类数据治理好了，管理层"看得清项目、算得清经费"的基本诉求就有了数据底座；其余采购、库存、专利、考勤等域的数据围绕这两个核心提供支撑。</w:t>
      </w:r>
    </w:p>
    <w:p>
      <w:pPr>
        <w:pStyle w:val="Heading2"/>
      </w:pPr>
      <w:r>
        <w:t xml:space="preserve">1.2 数据现状盘点</w:t>
      </w:r>
    </w:p>
    <w:p>
      <w:r>
        <w:t xml:space="preserve">本所数据管理平台已初步建成，当前数据来源可归纳为九类、约 45 张源表：</w:t>
      </w:r>
    </w:p>
    <w:tbl>
      <w:tblPr>
        <w:tblW w:w="5000" w:type="pct"/>
        <w:tblLayout w:type="autofit"/>
        <w:tblLook w:val="04A0" w:firstRow="1" w:lastRow="0" w:firstColumn="1" w:lastColumn="0" w:noHBand="0" w:noVBand="1"/>
      </w:tblPr>
      <w:tr>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数据类别</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数据来源</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接入方式</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规模</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与项目的关系</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组织人员</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平台业务模块</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业务表复用</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2 张</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间接关联</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ERP 项目结构</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ERP 系统</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在线同步</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3 张</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直接关联</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ERP 基础数据（物料/供应商/仓库等）</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ERP 系统</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在线同步</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4 张</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间接关联</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ERP 采购数据</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ERP 系统</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在线同步</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10 张</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直接关联</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ERP 库存数据</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ERP 系统</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在线同步</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13 张</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直接关联</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项目管控数据（进度/质量/风险/技术状态等）</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离线表格</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文件导入</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9 张</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核心</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考勤数据</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离线表格</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文件导入</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1 张</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无直接关联</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专利数据</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离线表格</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文件导入</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1 张</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无直接关联</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财务数据（自有资金/项目经费/辅助余额等）</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离线表格</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文件导入</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4 张</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间接关联</w:t>
            </w:r>
          </w:p>
        </w:tc>
      </w:tr>
    </w:tbl>
    <w:p/>
    <w:p>
      <w:r>
        <w:t xml:space="preserve">现状有两个基本事实：</w:t>
      </w:r>
    </w:p>
    <w:p>
      <w:pPr>
        <w:ind w:left="420" w:hanging="220"/>
        <w:spacing w:before="40" w:after="40"/>
      </w:pPr>
      <w:r>
        <w:t xml:space="preserve">• </w:t>
      </w:r>
      <w:r>
        <w:rPr>
          <w:b/>
          <w:bCs/>
        </w:rPr>
        <w:t xml:space="preserve">离线填报占主导</w:t>
      </w:r>
      <w:r>
        <w:t xml:space="preserve">。项目管控、财务、考勤、专利等核心数据依赖各科室按月（或按周）填报离线表格再导入平台，数据质量高度依赖填报人个人的认真程度与理解一致性。</w:t>
      </w:r>
    </w:p>
    <w:p>
      <w:pPr>
        <w:ind w:left="420" w:hanging="220"/>
        <w:spacing w:before="40" w:after="40"/>
      </w:pPr>
      <w:r>
        <w:t xml:space="preserve">• </w:t>
      </w:r>
      <w:r>
        <w:rPr>
          <w:b/>
          <w:bCs/>
        </w:rPr>
        <w:t xml:space="preserve">在线系统尚在建设</w:t>
      </w:r>
      <w:r>
        <w:t xml:space="preserve">。ERP 已实现采购、库存等域的在线同步；PLM（产品/设计数据）、QMS（质量管理系统）以及 ERP 的项目财务、项目预算模块尚在建设或规划中。未来 3 年内，数据来源结构将从"离线为主"逐步转向"在线为主、离线为补充"。</w:t>
      </w:r>
    </w:p>
    <w:p>
      <w:pPr>
        <w:pStyle w:val="Heading2"/>
      </w:pPr>
      <w:r>
        <w:t xml:space="preserve">1.3 现状问题诊断</w:t>
      </w:r>
    </w:p>
    <w:p>
      <w:r>
        <w:t xml:space="preserve">结合平台已导入数据的实际情况，当前数据管理存在以下典型问题：</w:t>
      </w:r>
    </w:p>
    <w:p>
      <w:r>
        <w:rPr>
          <w:b/>
          <w:bCs/>
        </w:rPr>
        <w:t xml:space="preserve">（1）同一事物多种写法，数据无法自动对齐。</w:t>
      </w:r>
      <w:r>
        <w:t xml:space="preserve"> 同一个科室在不同表格中出现简称、全称、别名多种写法；同一个人的姓名存在多种录入形式；风险等级有人填"高"、有人填"高风险"；节点类型"一般"与"一般节点"混用；技术状态更改类别罗马数字、阿拉伯数字、汉字并存。平台目前依靠别名归一机制消化这些差异，但别名清单持续膨胀，源头没有约束。</w:t>
      </w:r>
    </w:p>
    <w:p>
      <w:r>
        <w:rPr>
          <w:b/>
          <w:bCs/>
        </w:rPr>
        <w:t xml:space="preserve">（2）跨来源数据靠人工对照。</w:t>
      </w:r>
      <w:r>
        <w:t xml:space="preserve"> 项目在管控台账中用项目名称标识，在 ERP 中用项目编码标识，两边的对应关系靠映射表人工维护；一旦映射缺失，该项目的采购、库存、经费数据就无法挂接到项目视图下。</w:t>
      </w:r>
    </w:p>
    <w:p>
      <w:r>
        <w:rPr>
          <w:b/>
          <w:bCs/>
        </w:rPr>
        <w:t xml:space="preserve">（3）口径之争消耗管理精力。</w:t>
      </w:r>
      <w:r>
        <w:t xml:space="preserve"> "完成率""异常率"等关键指标曾长期存在多个叫法、多种算法，不同报表数字对不上，管理层需要花时间核对"哪个数是对的"。平台已通过指标口径冻结初步解决项目管控域的问题，但机制尚未制度化，其他域尚未覆盖。</w:t>
      </w:r>
    </w:p>
    <w:p>
      <w:r>
        <w:rPr>
          <w:b/>
          <w:bCs/>
        </w:rPr>
        <w:t xml:space="preserve">（4）填报质量缺乏闭环。</w:t>
      </w:r>
      <w:r>
        <w:t xml:space="preserve"> 日期格式不规范、必填项空缺、自造枚举值等问题反复出现；发现问题后没有标准的定责、整改、复验流程，同样的错误下个月照旧。</w:t>
      </w:r>
    </w:p>
    <w:p>
      <w:r>
        <w:rPr>
          <w:b/>
          <w:bCs/>
        </w:rPr>
        <w:t xml:space="preserve">（5）责任体系缺位。</w:t>
      </w:r>
      <w:r>
        <w:t xml:space="preserve"> 数据出了问题找不到明确的责任主体：填报科室认为"表交了就完事"，平台运维认为"数据是业务报的"，没有制度明确"谁产生数据、谁对质量负责"。</w:t>
      </w:r>
    </w:p>
    <w:p>
      <w:r>
        <w:rPr>
          <w:b/>
          <w:bCs/>
        </w:rPr>
        <w:t xml:space="preserve">（6）跨域按项目贯通尚不具备条件。</w:t>
      </w:r>
      <w:r>
        <w:t xml:space="preserve"> 预算、采购、成本数据分属不同来源，粒度与编码体系不一致，目前无法可靠地按项目维度自动勾稽。这是远期需要逐步解决的方向，而非当前一步能到位的目标。</w:t>
      </w:r>
    </w:p>
    <w:p>
      <w:pPr>
        <w:pStyle w:val="Heading2"/>
      </w:pPr>
      <w:r>
        <w:t xml:space="preserve">1.4 治理必要性与切入策略</w:t>
      </w:r>
    </w:p>
    <w:p>
      <w:r>
        <w:t xml:space="preserve">上述问题中，(1)(2)(4)(5) 均属于</w:t>
      </w:r>
      <w:r>
        <w:rPr>
          <w:b/>
          <w:bCs/>
        </w:rPr>
        <w:t xml:space="preserve">制度与标准缺位</w:t>
      </w:r>
      <w:r>
        <w:t xml:space="preserve">造成的问题，不是靠上系统能自动解决的——如果在标准混乱的情况下匆忙接入 PLM、QMS 等新系统，只会把混乱以更高的速度固化进平台（"垃圾进、垃圾出"）。因此本方案确立的切入策略是：</w:t>
      </w:r>
    </w:p>
    <w:p>
      <w:pPr>
        <w:ind w:left="420" w:hanging="220"/>
        <w:spacing w:before="40" w:after="40"/>
      </w:pPr>
      <w:r>
        <w:t xml:space="preserve">1. </w:t>
      </w:r>
      <w:r>
        <w:rPr>
          <w:b/>
          <w:bCs/>
        </w:rPr>
        <w:t xml:space="preserve">先治已有的</w:t>
      </w:r>
      <w:r>
        <w:t xml:space="preserve">：优先规范当前离线填报数据的标准、模板与质量闭环，项目域、财务域先行；</w:t>
      </w:r>
    </w:p>
    <w:p>
      <w:pPr>
        <w:ind w:left="420" w:hanging="220"/>
        <w:spacing w:before="40" w:after="40"/>
      </w:pPr>
      <w:r>
        <w:t xml:space="preserve">2. </w:t>
      </w:r>
      <w:r>
        <w:rPr>
          <w:b/>
          <w:bCs/>
        </w:rPr>
        <w:t xml:space="preserve">再接新来的</w:t>
      </w:r>
      <w:r>
        <w:t xml:space="preserve">：每个新系统接入前，必须完成标准对齐、主数据映射、质量规则定义三项前置工作（见第14章）；</w:t>
      </w:r>
    </w:p>
    <w:p>
      <w:pPr>
        <w:ind w:left="420" w:hanging="220"/>
        <w:spacing w:before="40" w:after="40"/>
      </w:pPr>
      <w:r>
        <w:t xml:space="preserve">3. </w:t>
      </w:r>
      <w:r>
        <w:rPr>
          <w:b/>
          <w:bCs/>
        </w:rPr>
        <w:t xml:space="preserve">循序渐进建考核</w:t>
      </w:r>
      <w:r>
        <w:t xml:space="preserve">：质量管理从通报起步，逐步过渡到评价参考，最后才与考核挂钩（见第10章），给业务科室留出适应期。</w:t>
      </w:r>
    </w:p>
    <w:p>
      <w:pPr>
        <w:pStyle w:val="Heading1"/>
        <w:pageBreakBefore/>
      </w:pPr>
      <w:r>
        <w:t xml:space="preserve">第2章 治理目标与总体框架</w:t>
      </w:r>
    </w:p>
    <w:p>
      <w:r>
        <w:rPr>
          <w:b/>
          <w:bCs/>
        </w:rPr>
        <w:t xml:space="preserve">【本章导读】</w:t>
      </w:r>
      <w:r>
        <w:t xml:space="preserve"> 本章给出数据治理的总目标、分阶段目标和一张总体框架图。核心思路：以</w:t>
      </w:r>
      <w:r>
        <w:rPr>
          <w:b/>
          <w:bCs/>
        </w:rPr>
        <w:t xml:space="preserve">项目、财务双核心数据域</w:t>
      </w:r>
      <w:r>
        <w:t xml:space="preserve">为重点，用九个治理能力域（标准、模型、主数据、指标、元数据、质量、安全、生命周期、共享）覆盖数据从产生到销毁的全生命周期；项目-财务数据贯通作为远期演进方向在蓝图中预留位置。</w:t>
      </w:r>
    </w:p>
    <w:p>
      <w:pPr>
        <w:pStyle w:val="Heading2"/>
      </w:pPr>
      <w:r>
        <w:t xml:space="preserve">2.1 总体目标与阶段目标</w:t>
      </w:r>
    </w:p>
    <w:p>
      <w:r>
        <w:rPr>
          <w:b/>
          <w:bCs/>
        </w:rPr>
        <w:t xml:space="preserve">总体目标</w:t>
      </w:r>
      <w:r>
        <w:t xml:space="preserve">：用约三年时间，建立"组织健全、标准统一、质量可控、安全合规"的数据治理体系，使项目、财务两域数据达到"口径唯一、来源可溯、质量可量、责任可查"，为管理决策提供可信数据。</w:t>
      </w:r>
    </w:p>
    <w:p>
      <w:r>
        <w:t xml:space="preserve">分阶段目标与实施路线（详见第15章）对应：</w:t>
      </w:r>
    </w:p>
    <w:tbl>
      <w:tblPr>
        <w:tblW w:w="5000" w:type="pct"/>
        <w:tblLayout w:type="autofit"/>
        <w:tblLook w:val="04A0" w:firstRow="1" w:lastRow="0" w:firstColumn="1" w:lastColumn="0" w:noHBand="0" w:noVBand="1"/>
      </w:tblPr>
      <w:tr>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阶段</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时间跨度</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阶段目标</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一期：立规矩、治填报</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约 6 个月</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治理组织与核心制度建立；填报模板标准化；项目、财务两域主数据与别名清理完成；指标字典发布；质量月度通报机制运行</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二期：接系统、闭环质量</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约 12 个月</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ERP 深度接入，财务数据按项目维度可查可算；PLM/QMS 按建设进度接入；质量整改闭环运行；数据资产目录覆盖主要业务域</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三期：服务化、常态化</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持续</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数据共享服务规范化；质量与考核挂钩；治理运营常态化；项目-财务贯通蓝图视条件择机推进</w:t>
            </w:r>
          </w:p>
        </w:tc>
      </w:tr>
    </w:tbl>
    <w:p/>
    <w:p>
      <w:pPr>
        <w:pStyle w:val="Heading2"/>
      </w:pPr>
      <w:r>
        <w:t xml:space="preserve">2.2 治理总体框架</w:t>
      </w:r>
    </w:p>
    <w:p>
      <w:r>
        <w:t xml:space="preserve">治理总体框架为"一横一纵"结构：</w:t>
      </w:r>
    </w:p>
    <w:p>
      <w:r>
        <w:rPr>
          <w:b/>
          <w:bCs/>
        </w:rPr>
        <w:t xml:space="preserve">横向——业务数据域</w:t>
      </w:r>
      <w:r>
        <w:t xml:space="preserve">（治理的对象）：</w:t>
      </w:r>
    </w:p>
    <w:p>
      <w:pPr>
        <w:pBdr>
          <w:top w:val="single" w:sz="4" w:color="D1D5DB"/>
          <w:left w:val="single" w:sz="4" w:color="D1D5DB"/>
          <w:bottom w:val="single" w:sz="4" w:color="D1D5DB"/>
          <w:right w:val="single" w:sz="4" w:color="D1D5DB"/>
        </w:pBdr>
        <w:shd w:val="clear" w:color="auto" w:fill="F3F4F6"/>
        <w:spacing w:before="0" w:after="0"/>
        <w:ind w:left="200" w:right="200"/>
      </w:pPr>
      <w:r>
        <w:rPr>
          <w:rFonts w:ascii="Courier New" w:hAnsi="Courier New" w:eastAsia="SimSun"/>
          <w:sz w:val="17"/>
          <w:szCs w:val="17"/>
        </w:rPr>
        <w:t xml:space="preserve">┌─────────────────────────────────────────────────────────┐</w:t>
      </w:r>
    </w:p>
    <w:p>
      <w:pPr>
        <w:pBdr>
          <w:top w:val="single" w:sz="4" w:color="D1D5DB"/>
          <w:left w:val="single" w:sz="4" w:color="D1D5DB"/>
          <w:bottom w:val="single" w:sz="4" w:color="D1D5DB"/>
          <w:right w:val="single" w:sz="4" w:color="D1D5DB"/>
        </w:pBdr>
        <w:shd w:val="clear" w:color="auto" w:fill="F3F4F6"/>
        <w:spacing w:before="0" w:after="0"/>
        <w:ind w:left="200" w:right="200"/>
      </w:pPr>
      <w:r>
        <w:rPr>
          <w:rFonts w:ascii="Courier New" w:hAnsi="Courier New" w:eastAsia="SimSun"/>
          <w:sz w:val="17"/>
          <w:szCs w:val="17"/>
        </w:rPr>
        <w:t xml:space="preserve">│                    业务数据域                              │</w:t>
      </w:r>
    </w:p>
    <w:p>
      <w:pPr>
        <w:pBdr>
          <w:top w:val="single" w:sz="4" w:color="D1D5DB"/>
          <w:left w:val="single" w:sz="4" w:color="D1D5DB"/>
          <w:bottom w:val="single" w:sz="4" w:color="D1D5DB"/>
          <w:right w:val="single" w:sz="4" w:color="D1D5DB"/>
        </w:pBdr>
        <w:shd w:val="clear" w:color="auto" w:fill="F3F4F6"/>
        <w:spacing w:before="0" w:after="0"/>
        <w:ind w:left="200" w:right="200"/>
      </w:pPr>
      <w:r>
        <w:rPr>
          <w:rFonts w:ascii="Courier New" w:hAnsi="Courier New" w:eastAsia="SimSun"/>
          <w:sz w:val="17"/>
          <w:szCs w:val="17"/>
        </w:rPr>
        <w:t xml:space="preserve">│  ┏━━━━━━━━━━━━┓  ┏━━━━━━━━━━━━┓                      │</w:t>
      </w:r>
    </w:p>
    <w:p>
      <w:pPr>
        <w:pBdr>
          <w:top w:val="single" w:sz="4" w:color="D1D5DB"/>
          <w:left w:val="single" w:sz="4" w:color="D1D5DB"/>
          <w:bottom w:val="single" w:sz="4" w:color="D1D5DB"/>
          <w:right w:val="single" w:sz="4" w:color="D1D5DB"/>
        </w:pBdr>
        <w:shd w:val="clear" w:color="auto" w:fill="F3F4F6"/>
        <w:spacing w:before="0" w:after="0"/>
        <w:ind w:left="200" w:right="200"/>
      </w:pPr>
      <w:r>
        <w:rPr>
          <w:rFonts w:ascii="Courier New" w:hAnsi="Courier New" w:eastAsia="SimSun"/>
          <w:sz w:val="17"/>
          <w:szCs w:val="17"/>
        </w:rPr>
        <w:t xml:space="preserve">│  ┃ 项目域(核心) ┃  ┃ 财务域(核心) ┃   采购域   库存域       │</w:t>
      </w:r>
    </w:p>
    <w:p>
      <w:pPr>
        <w:pBdr>
          <w:top w:val="single" w:sz="4" w:color="D1D5DB"/>
          <w:left w:val="single" w:sz="4" w:color="D1D5DB"/>
          <w:bottom w:val="single" w:sz="4" w:color="D1D5DB"/>
          <w:right w:val="single" w:sz="4" w:color="D1D5DB"/>
        </w:pBdr>
        <w:shd w:val="clear" w:color="auto" w:fill="F3F4F6"/>
        <w:spacing w:before="0" w:after="0"/>
        <w:ind w:left="200" w:right="200"/>
      </w:pPr>
      <w:r>
        <w:rPr>
          <w:rFonts w:ascii="Courier New" w:hAnsi="Courier New" w:eastAsia="SimSun"/>
          <w:sz w:val="17"/>
          <w:szCs w:val="17"/>
        </w:rPr>
        <w:t xml:space="preserve">│  ┃ 进度/质量/  ┃  ┃ 预算/经费/  ┃                        │</w:t>
      </w:r>
    </w:p>
    <w:p>
      <w:pPr>
        <w:pBdr>
          <w:top w:val="single" w:sz="4" w:color="D1D5DB"/>
          <w:left w:val="single" w:sz="4" w:color="D1D5DB"/>
          <w:bottom w:val="single" w:sz="4" w:color="D1D5DB"/>
          <w:right w:val="single" w:sz="4" w:color="D1D5DB"/>
        </w:pBdr>
        <w:shd w:val="clear" w:color="auto" w:fill="F3F4F6"/>
        <w:spacing w:before="0" w:after="0"/>
        <w:ind w:left="200" w:right="200"/>
      </w:pPr>
      <w:r>
        <w:rPr>
          <w:rFonts w:ascii="Courier New" w:hAnsi="Courier New" w:eastAsia="SimSun"/>
          <w:sz w:val="17"/>
          <w:szCs w:val="17"/>
        </w:rPr>
        <w:t xml:space="preserve">│  ┃ 风险/技术状态┃  ┃ 成本/余额   ┃   专利域   考勤域       │</w:t>
      </w:r>
    </w:p>
    <w:p>
      <w:pPr>
        <w:pBdr>
          <w:top w:val="single" w:sz="4" w:color="D1D5DB"/>
          <w:left w:val="single" w:sz="4" w:color="D1D5DB"/>
          <w:bottom w:val="single" w:sz="4" w:color="D1D5DB"/>
          <w:right w:val="single" w:sz="4" w:color="D1D5DB"/>
        </w:pBdr>
        <w:shd w:val="clear" w:color="auto" w:fill="F3F4F6"/>
        <w:spacing w:before="0" w:after="0"/>
        <w:ind w:left="200" w:right="200"/>
      </w:pPr>
      <w:r>
        <w:rPr>
          <w:rFonts w:ascii="Courier New" w:hAnsi="Courier New" w:eastAsia="SimSun"/>
          <w:sz w:val="17"/>
          <w:szCs w:val="17"/>
        </w:rPr>
        <w:t xml:space="preserve">│  ┗━━━━━━━━━━━━┛  ┗━━━━━━━━━━━━┛                      │</w:t>
      </w:r>
    </w:p>
    <w:p>
      <w:pPr>
        <w:pBdr>
          <w:top w:val="single" w:sz="4" w:color="D1D5DB"/>
          <w:left w:val="single" w:sz="4" w:color="D1D5DB"/>
          <w:bottom w:val="single" w:sz="4" w:color="D1D5DB"/>
          <w:right w:val="single" w:sz="4" w:color="D1D5DB"/>
        </w:pBdr>
        <w:shd w:val="clear" w:color="auto" w:fill="F3F4F6"/>
        <w:spacing w:before="0" w:after="0"/>
        <w:ind w:left="200" w:right="200"/>
      </w:pPr>
      <w:r>
        <w:rPr>
          <w:rFonts w:ascii="Courier New" w:hAnsi="Courier New" w:eastAsia="SimSun"/>
          <w:sz w:val="17"/>
          <w:szCs w:val="17"/>
        </w:rPr>
        <w:t xml:space="preserve">│        └─────── 项目-财务贯通(远期演进方向) ───────┘        │</w:t>
      </w:r>
    </w:p>
    <w:p>
      <w:pPr>
        <w:pBdr>
          <w:top w:val="single" w:sz="4" w:color="D1D5DB"/>
          <w:left w:val="single" w:sz="4" w:color="D1D5DB"/>
          <w:bottom w:val="single" w:sz="4" w:color="D1D5DB"/>
          <w:right w:val="single" w:sz="4" w:color="D1D5DB"/>
        </w:pBdr>
        <w:shd w:val="clear" w:color="auto" w:fill="F3F4F6"/>
        <w:spacing w:before="0" w:after="0"/>
        <w:ind w:left="200" w:right="200"/>
      </w:pPr>
      <w:r>
        <w:rPr>
          <w:rFonts w:ascii="Courier New" w:hAnsi="Courier New" w:eastAsia="SimSun"/>
          <w:sz w:val="17"/>
          <w:szCs w:val="17"/>
        </w:rPr>
        <w:t xml:space="preserve">└─────────────────────────────────────────────────────────┘</w:t>
      </w:r>
    </w:p>
    <w:p>
      <w:r>
        <w:rPr>
          <w:b/>
          <w:bCs/>
        </w:rPr>
        <w:t xml:space="preserve">纵向——治理能力域</w:t>
      </w:r>
      <w:r>
        <w:t xml:space="preserve">（治理的手段），对应本方案第二篇九章：</w:t>
      </w:r>
    </w:p>
    <w:tbl>
      <w:tblPr>
        <w:tblW w:w="5000" w:type="pct"/>
        <w:tblLayout w:type="autofit"/>
        <w:tblLook w:val="04A0" w:firstRow="1" w:lastRow="0" w:firstColumn="1" w:lastColumn="0" w:noHBand="0" w:noVBand="1"/>
      </w:tblPr>
      <w:tr>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治理能力域</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解决的问题</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对应章节</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数据标准管理</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名称、类型、值域、编码各说各话</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第5章</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数据架构与模型管理</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数据分层混乱、加工逻辑不可控</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第6章</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主数据管理</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项目、人员、科室等基础数据多源不一致</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第7章</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指标管理</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指标口径之争、报表数字对不上</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第8章</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元数据与血缘管理</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数据是什么、从哪来、到哪去说不清</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第9章</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数据质量管理</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填报错误反复出现、无人担责</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第10章</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数据安全管理</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数据分级、授权、审计缺乏统一要求</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第11章</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数据生命周期管理</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数据只进不出、归档销毁无章可循</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第12章</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数据共享与服务管理</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数据提供随意、出口口径不一</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第13章</w:t>
            </w:r>
          </w:p>
        </w:tc>
      </w:tr>
    </w:tbl>
    <w:p/>
    <w:p>
      <w:pPr>
        <w:pStyle w:val="Heading2"/>
      </w:pPr>
      <w:r>
        <w:t xml:space="preserve">2.3 数据架构总览</w:t>
      </w:r>
    </w:p>
    <w:p>
      <w:r>
        <w:t xml:space="preserve">数据从来源到消费的总体路径如下（各层职责详见第6章）：</w:t>
      </w:r>
    </w:p>
    <w:p>
      <w:pPr>
        <w:pBdr>
          <w:top w:val="single" w:sz="4" w:color="D1D5DB"/>
          <w:left w:val="single" w:sz="4" w:color="D1D5DB"/>
          <w:bottom w:val="single" w:sz="4" w:color="D1D5DB"/>
          <w:right w:val="single" w:sz="4" w:color="D1D5DB"/>
        </w:pBdr>
        <w:shd w:val="clear" w:color="auto" w:fill="F3F4F6"/>
        <w:spacing w:before="0" w:after="0"/>
        <w:ind w:left="200" w:right="200"/>
      </w:pPr>
      <w:r>
        <w:rPr>
          <w:rFonts w:ascii="Courier New" w:hAnsi="Courier New" w:eastAsia="SimSun"/>
          <w:sz w:val="17"/>
          <w:szCs w:val="17"/>
        </w:rPr>
        <w:t xml:space="preserve">数据来源                  数据管理平台                        数据消费</w:t>
      </w:r>
    </w:p>
    <w:p>
      <w:pPr>
        <w:pBdr>
          <w:top w:val="single" w:sz="4" w:color="D1D5DB"/>
          <w:left w:val="single" w:sz="4" w:color="D1D5DB"/>
          <w:bottom w:val="single" w:sz="4" w:color="D1D5DB"/>
          <w:right w:val="single" w:sz="4" w:color="D1D5DB"/>
        </w:pBdr>
        <w:shd w:val="clear" w:color="auto" w:fill="F3F4F6"/>
        <w:spacing w:before="0" w:after="0"/>
        <w:ind w:left="200" w:right="200"/>
      </w:pPr>
      <w:r>
        <w:rPr>
          <w:rFonts w:ascii="Courier New" w:hAnsi="Courier New" w:eastAsia="SimSun"/>
          <w:sz w:val="17"/>
          <w:szCs w:val="17"/>
        </w:rPr>
        <w:t xml:space="preserve">─────────      ─────────────────────────────────      ─────────</w:t>
      </w:r>
    </w:p>
    <w:p>
      <w:pPr>
        <w:pBdr>
          <w:top w:val="single" w:sz="4" w:color="D1D5DB"/>
          <w:left w:val="single" w:sz="4" w:color="D1D5DB"/>
          <w:bottom w:val="single" w:sz="4" w:color="D1D5DB"/>
          <w:right w:val="single" w:sz="4" w:color="D1D5DB"/>
        </w:pBdr>
        <w:shd w:val="clear" w:color="auto" w:fill="F3F4F6"/>
        <w:spacing w:before="0" w:after="0"/>
        <w:ind w:left="200" w:right="200"/>
      </w:pPr>
      <w:r>
        <w:rPr>
          <w:rFonts w:ascii="Courier New" w:hAnsi="Courier New" w:eastAsia="SimSun"/>
          <w:sz w:val="17"/>
          <w:szCs w:val="17"/>
        </w:rPr>
        <w:t xml:space="preserve">离线表格填报 ──┐    ODS 贴源层（原样落地、可追溯）              项目管控驾驶舱</w:t>
      </w:r>
    </w:p>
    <w:p>
      <w:pPr>
        <w:pBdr>
          <w:top w:val="single" w:sz="4" w:color="D1D5DB"/>
          <w:left w:val="single" w:sz="4" w:color="D1D5DB"/>
          <w:bottom w:val="single" w:sz="4" w:color="D1D5DB"/>
          <w:right w:val="single" w:sz="4" w:color="D1D5DB"/>
        </w:pBdr>
        <w:shd w:val="clear" w:color="auto" w:fill="F3F4F6"/>
        <w:spacing w:before="0" w:after="0"/>
        <w:ind w:left="200" w:right="200"/>
      </w:pPr>
      <w:r>
        <w:rPr>
          <w:rFonts w:ascii="Courier New" w:hAnsi="Courier New" w:eastAsia="SimSun"/>
          <w:sz w:val="17"/>
          <w:szCs w:val="17"/>
        </w:rPr>
        <w:t xml:space="preserve">              ├──→  STG 结构化层（类型收敛、不改语义）    ──→   经营分析看板</w:t>
      </w:r>
    </w:p>
    <w:p>
      <w:pPr>
        <w:pBdr>
          <w:top w:val="single" w:sz="4" w:color="D1D5DB"/>
          <w:left w:val="single" w:sz="4" w:color="D1D5DB"/>
          <w:bottom w:val="single" w:sz="4" w:color="D1D5DB"/>
          <w:right w:val="single" w:sz="4" w:color="D1D5DB"/>
        </w:pBdr>
        <w:shd w:val="clear" w:color="auto" w:fill="F3F4F6"/>
        <w:spacing w:before="0" w:after="0"/>
        <w:ind w:left="200" w:right="200"/>
      </w:pPr>
      <w:r>
        <w:rPr>
          <w:rFonts w:ascii="Courier New" w:hAnsi="Courier New" w:eastAsia="SimSun"/>
          <w:sz w:val="17"/>
          <w:szCs w:val="17"/>
        </w:rPr>
        <w:t xml:space="preserve">ERP 在线同步 ──┤    DWD 明细层（业务解释、口径落地）            数据查询服务</w:t>
      </w:r>
    </w:p>
    <w:p>
      <w:pPr>
        <w:pBdr>
          <w:top w:val="single" w:sz="4" w:color="D1D5DB"/>
          <w:left w:val="single" w:sz="4" w:color="D1D5DB"/>
          <w:bottom w:val="single" w:sz="4" w:color="D1D5DB"/>
          <w:right w:val="single" w:sz="4" w:color="D1D5DB"/>
        </w:pBdr>
        <w:shd w:val="clear" w:color="auto" w:fill="F3F4F6"/>
        <w:spacing w:before="0" w:after="0"/>
        <w:ind w:left="200" w:right="200"/>
      </w:pPr>
      <w:r>
        <w:rPr>
          <w:rFonts w:ascii="Courier New" w:hAnsi="Courier New" w:eastAsia="SimSun"/>
          <w:sz w:val="17"/>
          <w:szCs w:val="17"/>
        </w:rPr>
        <w:t xml:space="preserve">              │    DWS 汇总层（主题汇总）                     数据共享提供</w:t>
      </w:r>
    </w:p>
    <w:p>
      <w:pPr>
        <w:pBdr>
          <w:top w:val="single" w:sz="4" w:color="D1D5DB"/>
          <w:left w:val="single" w:sz="4" w:color="D1D5DB"/>
          <w:bottom w:val="single" w:sz="4" w:color="D1D5DB"/>
          <w:right w:val="single" w:sz="4" w:color="D1D5DB"/>
        </w:pBdr>
        <w:shd w:val="clear" w:color="auto" w:fill="F3F4F6"/>
        <w:spacing w:before="0" w:after="0"/>
        <w:ind w:left="200" w:right="200"/>
      </w:pPr>
      <w:r>
        <w:rPr>
          <w:rFonts w:ascii="Courier New" w:hAnsi="Courier New" w:eastAsia="SimSun"/>
          <w:sz w:val="17"/>
          <w:szCs w:val="17"/>
        </w:rPr>
        <w:t xml:space="preserve">PLM/QMS/ERP ──┘    ADS 应用层（面向消费的指标结果）</w:t>
      </w:r>
    </w:p>
    <w:p>
      <w:pPr>
        <w:pBdr>
          <w:top w:val="single" w:sz="4" w:color="D1D5DB"/>
          <w:left w:val="single" w:sz="4" w:color="D1D5DB"/>
          <w:bottom w:val="single" w:sz="4" w:color="D1D5DB"/>
          <w:right w:val="single" w:sz="4" w:color="D1D5DB"/>
        </w:pBdr>
        <w:shd w:val="clear" w:color="auto" w:fill="F3F4F6"/>
        <w:spacing w:before="0" w:after="0"/>
        <w:ind w:left="200" w:right="200"/>
      </w:pPr>
      <w:r>
        <w:rPr>
          <w:rFonts w:ascii="Courier New" w:hAnsi="Courier New" w:eastAsia="SimSun"/>
          <w:sz w:val="17"/>
          <w:szCs w:val="17"/>
        </w:rPr>
        <w:t xml:space="preserve">（规划接入）        （维度主数据、指标字典、质量规则贯穿各层）</w:t>
      </w:r>
    </w:p>
    <w:p>
      <w:pPr>
        <w:pBdr>
          <w:top w:val="single" w:sz="4" w:color="D1D5DB"/>
          <w:left w:val="single" w:sz="4" w:color="D1D5DB"/>
          <w:bottom w:val="single" w:sz="4" w:color="D1D5DB"/>
          <w:right w:val="single" w:sz="4" w:color="D1D5DB"/>
        </w:pBdr>
        <w:shd w:val="clear" w:color="auto" w:fill="F3F4F6"/>
        <w:spacing w:before="0" w:after="0"/>
        <w:ind w:left="200" w:right="200"/>
      </w:pPr>
      <w:r>
        <w:rPr>
          <w:rFonts w:ascii="Courier New" w:hAnsi="Courier New" w:eastAsia="SimSun"/>
          <w:sz w:val="17"/>
          <w:szCs w:val="17"/>
        </w:rPr>
        <w:t xml:space="preserve">                          ↓ 到期归档</w:t>
      </w:r>
    </w:p>
    <w:p>
      <w:pPr>
        <w:pBdr>
          <w:top w:val="single" w:sz="4" w:color="D1D5DB"/>
          <w:left w:val="single" w:sz="4" w:color="D1D5DB"/>
          <w:bottom w:val="single" w:sz="4" w:color="D1D5DB"/>
          <w:right w:val="single" w:sz="4" w:color="D1D5DB"/>
        </w:pBdr>
        <w:shd w:val="clear" w:color="auto" w:fill="F3F4F6"/>
        <w:spacing w:before="0" w:after="0"/>
        <w:ind w:left="200" w:right="200"/>
      </w:pPr>
      <w:r>
        <w:rPr>
          <w:rFonts w:ascii="Courier New" w:hAnsi="Courier New" w:eastAsia="SimSun"/>
          <w:sz w:val="17"/>
          <w:szCs w:val="17"/>
        </w:rPr>
        <w:t xml:space="preserve">                    达梦数据库（冷备归档库）</w:t>
      </w:r>
    </w:p>
    <w:p>
      <w:pPr>
        <w:pStyle w:val="Heading2"/>
      </w:pPr>
      <w:r>
        <w:t xml:space="preserve">2.4 治理基本原则</w:t>
      </w:r>
    </w:p>
    <w:p>
      <w:r>
        <w:t xml:space="preserve">以下四条原则贯穿所有治理域，是本方案各项规则的总纲：</w:t>
      </w:r>
    </w:p>
    <w:p>
      <w:pPr>
        <w:ind w:left="420" w:hanging="220"/>
        <w:spacing w:before="40" w:after="40"/>
      </w:pPr>
      <w:r>
        <w:t xml:space="preserve">1. </w:t>
      </w:r>
      <w:r>
        <w:rPr>
          <w:b/>
          <w:bCs/>
        </w:rPr>
        <w:t xml:space="preserve">源头可追溯</w:t>
      </w:r>
      <w:r>
        <w:t xml:space="preserve">。任何进入平台的数据必须保留来源信息（来源文件、批次、行号、导入时间），做到每个数字可回查到原始填报。</w:t>
      </w:r>
    </w:p>
    <w:p>
      <w:pPr>
        <w:ind w:left="420" w:hanging="220"/>
        <w:spacing w:before="40" w:after="40"/>
      </w:pPr>
      <w:r>
        <w:t xml:space="preserve">2. </w:t>
      </w:r>
      <w:r>
        <w:rPr>
          <w:b/>
          <w:bCs/>
        </w:rPr>
        <w:t xml:space="preserve">口径唯一真值源</w:t>
      </w:r>
      <w:r>
        <w:t xml:space="preserve">。业务分类、枚举含义、指标算法只允许有一个权威定义处；报表与看板一律消费统一口径，禁止各自另算。</w:t>
      </w:r>
    </w:p>
    <w:p>
      <w:pPr>
        <w:ind w:left="420" w:hanging="220"/>
        <w:spacing w:before="40" w:after="40"/>
      </w:pPr>
      <w:r>
        <w:t xml:space="preserve">3. </w:t>
      </w:r>
      <w:r>
        <w:rPr>
          <w:b/>
          <w:bCs/>
        </w:rPr>
        <w:t xml:space="preserve">指标定义先于实现</w:t>
      </w:r>
      <w:r>
        <w:t xml:space="preserve">。先在指标字典中定义清楚业务含义与算法，再做技术实现；未经定义评审的指标不得上看板。</w:t>
      </w:r>
    </w:p>
    <w:p>
      <w:pPr>
        <w:ind w:left="420" w:hanging="220"/>
        <w:spacing w:before="40" w:after="40"/>
      </w:pPr>
      <w:r>
        <w:t xml:space="preserve">4. </w:t>
      </w:r>
      <w:r>
        <w:rPr>
          <w:b/>
          <w:bCs/>
        </w:rPr>
        <w:t xml:space="preserve">循序渐进</w:t>
      </w:r>
      <w:r>
        <w:t xml:space="preserve">。标准从核心域起步、考核从通报起步、接入从成熟系统起步，每一步做实再走下一步。</w:t>
      </w:r>
    </w:p>
    <w:p>
      <w:pPr>
        <w:pStyle w:val="Heading1"/>
        <w:pageBreakBefore/>
      </w:pPr>
      <w:r>
        <w:t xml:space="preserve">第3章 组织与职责</w:t>
      </w:r>
    </w:p>
    <w:p>
      <w:r>
        <w:rPr>
          <w:b/>
          <w:bCs/>
        </w:rPr>
        <w:t xml:space="preserve">【本章导读】</w:t>
      </w:r>
      <w:r>
        <w:t xml:space="preserve"> 数据治理首先是管理问题，其次才是技术问题。本章按本所"所—科室—职员"三级体制设计三层治理组织：</w:t>
      </w:r>
      <w:r>
        <w:rPr>
          <w:b/>
          <w:bCs/>
        </w:rPr>
        <w:t xml:space="preserve">数据治理领导小组</w:t>
      </w:r>
      <w:r>
        <w:t xml:space="preserve">（所级决策）、</w:t>
      </w:r>
      <w:r>
        <w:rPr>
          <w:b/>
          <w:bCs/>
        </w:rPr>
        <w:t xml:space="preserve">数据管理办公室</w:t>
      </w:r>
      <w:r>
        <w:t xml:space="preserve">（归口日常运营）、</w:t>
      </w:r>
      <w:r>
        <w:rPr>
          <w:b/>
          <w:bCs/>
        </w:rPr>
        <w:t xml:space="preserve">科室数据专员</w:t>
      </w:r>
      <w:r>
        <w:t xml:space="preserve">（业务科室兼职），并明确与保密管理体系的职责边界：数据定密、涉密审批由保密体系主导，数据治理组织负责落实与配合。</w:t>
      </w:r>
    </w:p>
    <w:p>
      <w:pPr>
        <w:pStyle w:val="Heading2"/>
      </w:pPr>
      <w:r>
        <w:t xml:space="preserve">3.1 治理组织架构</w:t>
      </w:r>
    </w:p>
    <w:p>
      <w:pPr>
        <w:pBdr>
          <w:top w:val="single" w:sz="4" w:color="D1D5DB"/>
          <w:left w:val="single" w:sz="4" w:color="D1D5DB"/>
          <w:bottom w:val="single" w:sz="4" w:color="D1D5DB"/>
          <w:right w:val="single" w:sz="4" w:color="D1D5DB"/>
        </w:pBdr>
        <w:shd w:val="clear" w:color="auto" w:fill="F3F4F6"/>
        <w:spacing w:before="0" w:after="0"/>
        <w:ind w:left="200" w:right="200"/>
      </w:pPr>
      <w:r>
        <w:rPr>
          <w:rFonts w:ascii="Courier New" w:hAnsi="Courier New" w:eastAsia="SimSun"/>
          <w:sz w:val="17"/>
          <w:szCs w:val="17"/>
        </w:rPr>
        <w:t xml:space="preserve">        数据治理领导小组（所级）</w:t>
      </w:r>
    </w:p>
    <w:p>
      <w:pPr>
        <w:pBdr>
          <w:top w:val="single" w:sz="4" w:color="D1D5DB"/>
          <w:left w:val="single" w:sz="4" w:color="D1D5DB"/>
          <w:bottom w:val="single" w:sz="4" w:color="D1D5DB"/>
          <w:right w:val="single" w:sz="4" w:color="D1D5DB"/>
        </w:pBdr>
        <w:shd w:val="clear" w:color="auto" w:fill="F3F4F6"/>
        <w:spacing w:before="0" w:after="0"/>
        <w:ind w:left="200" w:right="200"/>
      </w:pPr>
      <w:r>
        <w:rPr>
          <w:rFonts w:ascii="Courier New" w:hAnsi="Courier New" w:eastAsia="SimSun"/>
          <w:sz w:val="17"/>
          <w:szCs w:val="17"/>
        </w:rPr>
        <w:t xml:space="preserve">        组长：所领导（分管）  成员：相关科室负责人、保密办负责人</w:t>
      </w:r>
    </w:p>
    <w:p>
      <w:pPr>
        <w:pBdr>
          <w:top w:val="single" w:sz="4" w:color="D1D5DB"/>
          <w:left w:val="single" w:sz="4" w:color="D1D5DB"/>
          <w:bottom w:val="single" w:sz="4" w:color="D1D5DB"/>
          <w:right w:val="single" w:sz="4" w:color="D1D5DB"/>
        </w:pBdr>
        <w:shd w:val="clear" w:color="auto" w:fill="F3F4F6"/>
        <w:spacing w:before="0" w:after="0"/>
        <w:ind w:left="200" w:right="200"/>
      </w:pPr>
      <w:r>
        <w:rPr>
          <w:rFonts w:ascii="Courier New" w:hAnsi="Courier New" w:eastAsia="SimSun"/>
          <w:sz w:val="17"/>
          <w:szCs w:val="17"/>
        </w:rPr>
        <w:t xml:space="preserve">                 │  决策、发布、裁决</w:t>
      </w:r>
    </w:p>
    <w:p>
      <w:pPr>
        <w:pBdr>
          <w:top w:val="single" w:sz="4" w:color="D1D5DB"/>
          <w:left w:val="single" w:sz="4" w:color="D1D5DB"/>
          <w:bottom w:val="single" w:sz="4" w:color="D1D5DB"/>
          <w:right w:val="single" w:sz="4" w:color="D1D5DB"/>
        </w:pBdr>
        <w:shd w:val="clear" w:color="auto" w:fill="F3F4F6"/>
        <w:spacing w:before="0" w:after="0"/>
        <w:ind w:left="200" w:right="200"/>
      </w:pPr>
      <w:r>
        <w:rPr>
          <w:rFonts w:ascii="Courier New" w:hAnsi="Courier New" w:eastAsia="SimSun"/>
          <w:sz w:val="17"/>
          <w:szCs w:val="17"/>
        </w:rPr>
        <w:t xml:space="preserve">                 ▼</w:t>
      </w:r>
    </w:p>
    <w:p>
      <w:pPr>
        <w:pBdr>
          <w:top w:val="single" w:sz="4" w:color="D1D5DB"/>
          <w:left w:val="single" w:sz="4" w:color="D1D5DB"/>
          <w:bottom w:val="single" w:sz="4" w:color="D1D5DB"/>
          <w:right w:val="single" w:sz="4" w:color="D1D5DB"/>
        </w:pBdr>
        <w:shd w:val="clear" w:color="auto" w:fill="F3F4F6"/>
        <w:spacing w:before="0" w:after="0"/>
        <w:ind w:left="200" w:right="200"/>
      </w:pPr>
      <w:r>
        <w:rPr>
          <w:rFonts w:ascii="Courier New" w:hAnsi="Courier New" w:eastAsia="SimSun"/>
          <w:sz w:val="17"/>
          <w:szCs w:val="17"/>
        </w:rPr>
        <w:t xml:space="preserve">        数据管理办公室（归口科室内设）</w:t>
      </w:r>
    </w:p>
    <w:p>
      <w:pPr>
        <w:pBdr>
          <w:top w:val="single" w:sz="4" w:color="D1D5DB"/>
          <w:left w:val="single" w:sz="4" w:color="D1D5DB"/>
          <w:bottom w:val="single" w:sz="4" w:color="D1D5DB"/>
          <w:right w:val="single" w:sz="4" w:color="D1D5DB"/>
        </w:pBdr>
        <w:shd w:val="clear" w:color="auto" w:fill="F3F4F6"/>
        <w:spacing w:before="0" w:after="0"/>
        <w:ind w:left="200" w:right="200"/>
      </w:pPr>
      <w:r>
        <w:rPr>
          <w:rFonts w:ascii="Courier New" w:hAnsi="Courier New" w:eastAsia="SimSun"/>
          <w:sz w:val="17"/>
          <w:szCs w:val="17"/>
        </w:rPr>
        <w:t xml:space="preserve">        主任 1 名 + 数据管理岗 2~3 名</w:t>
      </w:r>
    </w:p>
    <w:p>
      <w:pPr>
        <w:pBdr>
          <w:top w:val="single" w:sz="4" w:color="D1D5DB"/>
          <w:left w:val="single" w:sz="4" w:color="D1D5DB"/>
          <w:bottom w:val="single" w:sz="4" w:color="D1D5DB"/>
          <w:right w:val="single" w:sz="4" w:color="D1D5DB"/>
        </w:pBdr>
        <w:shd w:val="clear" w:color="auto" w:fill="F3F4F6"/>
        <w:spacing w:before="0" w:after="0"/>
        <w:ind w:left="200" w:right="200"/>
      </w:pPr>
      <w:r>
        <w:rPr>
          <w:rFonts w:ascii="Courier New" w:hAnsi="Courier New" w:eastAsia="SimSun"/>
          <w:sz w:val="17"/>
          <w:szCs w:val="17"/>
        </w:rPr>
        <w:t xml:space="preserve">                 │  组织、审核、运营、通报</w:t>
      </w:r>
    </w:p>
    <w:p>
      <w:pPr>
        <w:pBdr>
          <w:top w:val="single" w:sz="4" w:color="D1D5DB"/>
          <w:left w:val="single" w:sz="4" w:color="D1D5DB"/>
          <w:bottom w:val="single" w:sz="4" w:color="D1D5DB"/>
          <w:right w:val="single" w:sz="4" w:color="D1D5DB"/>
        </w:pBdr>
        <w:shd w:val="clear" w:color="auto" w:fill="F3F4F6"/>
        <w:spacing w:before="0" w:after="0"/>
        <w:ind w:left="200" w:right="200"/>
      </w:pPr>
      <w:r>
        <w:rPr>
          <w:rFonts w:ascii="Courier New" w:hAnsi="Courier New" w:eastAsia="SimSun"/>
          <w:sz w:val="17"/>
          <w:szCs w:val="17"/>
        </w:rPr>
        <w:t xml:space="preserve">                 ▼</w:t>
      </w:r>
    </w:p>
    <w:p>
      <w:pPr>
        <w:pBdr>
          <w:top w:val="single" w:sz="4" w:color="D1D5DB"/>
          <w:left w:val="single" w:sz="4" w:color="D1D5DB"/>
          <w:bottom w:val="single" w:sz="4" w:color="D1D5DB"/>
          <w:right w:val="single" w:sz="4" w:color="D1D5DB"/>
        </w:pBdr>
        <w:shd w:val="clear" w:color="auto" w:fill="F3F4F6"/>
        <w:spacing w:before="0" w:after="0"/>
        <w:ind w:left="200" w:right="200"/>
      </w:pPr>
      <w:r>
        <w:rPr>
          <w:rFonts w:ascii="Courier New" w:hAnsi="Courier New" w:eastAsia="SimSun"/>
          <w:sz w:val="17"/>
          <w:szCs w:val="17"/>
        </w:rPr>
        <w:t xml:space="preserve">        科室数据专员（各业务科室兼职，每科室 1 名）</w:t>
      </w:r>
    </w:p>
    <w:p>
      <w:pPr>
        <w:pBdr>
          <w:top w:val="single" w:sz="4" w:color="D1D5DB"/>
          <w:left w:val="single" w:sz="4" w:color="D1D5DB"/>
          <w:bottom w:val="single" w:sz="4" w:color="D1D5DB"/>
          <w:right w:val="single" w:sz="4" w:color="D1D5DB"/>
        </w:pBdr>
        <w:shd w:val="clear" w:color="auto" w:fill="F3F4F6"/>
        <w:spacing w:before="0" w:after="0"/>
        <w:ind w:left="200" w:right="200"/>
      </w:pPr>
      <w:r>
        <w:rPr>
          <w:rFonts w:ascii="Courier New" w:hAnsi="Courier New" w:eastAsia="SimSun"/>
          <w:sz w:val="17"/>
          <w:szCs w:val="17"/>
        </w:rPr>
        <w:t xml:space="preserve">        填报组织、口径确认、问题整改的科室第一联络人</w:t>
      </w:r>
    </w:p>
    <w:p>
      <w:r>
        <w:rPr>
          <w:b/>
          <w:bCs/>
        </w:rPr>
        <w:t xml:space="preserve">（1）数据治理领导小组</w:t>
      </w:r>
      <w:r>
        <w:t xml:space="preserve">：本所数据治理的最高决策机构，由分管所领导任组长，成员包括项目管理、财务、质量、科研生产、信息化等相关科室负责人及保密办负责人。职责：审定数据治理制度与标准；审定年度治理工作计划与考核方案；裁决跨科室的口径与责任争议。运行方式：每季度召开一次治理评审会，重大事项临时召集。</w:t>
      </w:r>
    </w:p>
    <w:p>
      <w:r>
        <w:rPr>
          <w:b/>
          <w:bCs/>
        </w:rPr>
        <w:t xml:space="preserve">（2）数据管理办公室</w:t>
      </w:r>
      <w:r>
        <w:t xml:space="preserve">：设在信息化归口科室内，是治理工作的日常执行机构。职责：起草制度与标准并组织评审；维护主数据、指标字典、数据资产目录；组织数据质量监控与月度通报；受理各科室的数据问题与申请事项；组织宣贯培训。</w:t>
      </w:r>
    </w:p>
    <w:p>
      <w:r>
        <w:rPr>
          <w:b/>
          <w:bCs/>
        </w:rPr>
        <w:t xml:space="preserve">（3）科室数据专员</w:t>
      </w:r>
      <w:r>
        <w:t xml:space="preserve">：各业务科室指定一名熟悉本科室业务的人员兼任。职责：组织本科室数据填报并做提交前自查；代表科室确认涉及本科室的业务口径与主数据；牵头本科室数据质量问题整改；参加数据质量月度例会。科室数据专员是"业务懂数据"的关键抓手，其培训要求见第17章。</w:t>
      </w:r>
    </w:p>
    <w:p>
      <w:pPr>
        <w:pStyle w:val="Heading2"/>
      </w:pPr>
      <w:r>
        <w:t xml:space="preserve">3.2 关键事项职责矩阵</w:t>
      </w:r>
    </w:p>
    <w:p>
      <w:r>
        <w:t xml:space="preserve">对治理中最常发生的关键事项，明确"审批（A）—负责（R）—配合（C）—知悉（I）"分工：</w:t>
      </w:r>
    </w:p>
    <w:tbl>
      <w:tblPr>
        <w:tblW w:w="5000" w:type="pct"/>
        <w:tblLayout w:type="autofit"/>
        <w:tblLook w:val="04A0" w:firstRow="1" w:lastRow="0" w:firstColumn="1" w:lastColumn="0" w:noHBand="0" w:noVBand="1"/>
      </w:tblPr>
      <w:tr>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关键事项</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领导小组</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数据管理办公室</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科室数据专员</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业务科室负责人</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保密办</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治理制度/标准发布</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A</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R</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C</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C</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C</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数据标准变更</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A（重大）</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R</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C</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C</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I</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数据模型评审上线</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I</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A/R</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C</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I</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I</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主数据新增/变更确认</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I</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R</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A（本业务）</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I</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I</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指标口径定义与变更</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A（核心指标）</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R</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C</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A（本业务口径）</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I</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质量问题定责与整改</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I</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R</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R（科室内）</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A</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I</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数据共享审批（所内）</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I</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A/R</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C</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A（数据归属科室）</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I</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数据共享审批（涉外/涉密）</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A</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R</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C</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C</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A</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数据定密与密级变更</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I</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C</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C</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C</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A/R</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数据销毁审批</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A</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R</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C</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C</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A</w:t>
            </w:r>
          </w:p>
        </w:tc>
      </w:tr>
    </w:tbl>
    <w:p/>
    <w:p>
      <w:pPr>
        <w:pStyle w:val="Heading2"/>
      </w:pPr>
      <w:r>
        <w:t xml:space="preserve">3.3 与保密管理体系的衔接</w:t>
      </w:r>
    </w:p>
    <w:p>
      <w:r>
        <w:t xml:space="preserve">本所保密要求高，数据治理组织与保密管理体系的关系界定为</w:t>
      </w:r>
      <w:r>
        <w:rPr>
          <w:b/>
          <w:bCs/>
        </w:rPr>
        <w:t xml:space="preserve">"保密定规矩，治理抓落实"</w:t>
      </w:r>
      <w:r>
        <w:t xml:space="preserve">：</w:t>
      </w:r>
    </w:p>
    <w:p>
      <w:pPr>
        <w:ind w:left="420" w:hanging="220"/>
        <w:spacing w:before="40" w:after="40"/>
      </w:pPr>
      <w:r>
        <w:t xml:space="preserve">• </w:t>
      </w:r>
      <w:r>
        <w:rPr>
          <w:b/>
          <w:bCs/>
        </w:rPr>
        <w:t xml:space="preserve">定密权在保密体系</w:t>
      </w:r>
      <w:r>
        <w:t xml:space="preserve">：数据的密级认定、密级变更、涉密数据处理要求均以本所保密制度为准，数据治理组织不另立标准。</w:t>
      </w:r>
    </w:p>
    <w:p>
      <w:pPr>
        <w:ind w:left="420" w:hanging="220"/>
        <w:spacing w:before="40" w:after="40"/>
      </w:pPr>
      <w:r>
        <w:t xml:space="preserve">• </w:t>
      </w:r>
      <w:r>
        <w:rPr>
          <w:b/>
          <w:bCs/>
        </w:rPr>
        <w:t xml:space="preserve">落实责任在治理体系</w:t>
      </w:r>
      <w:r>
        <w:t xml:space="preserve">：数据管理办公室负责把保密要求转化为平台内可执行的管控措施（密级标识、权限矩阵、审计留痕、销毁流程），并在数据资产目录中登记每项数据资产的密级属性（见第9章、第11章）。</w:t>
      </w:r>
    </w:p>
    <w:p>
      <w:pPr>
        <w:ind w:left="420" w:hanging="220"/>
        <w:spacing w:before="40" w:after="40"/>
      </w:pPr>
      <w:r>
        <w:t xml:space="preserve">• </w:t>
      </w:r>
      <w:r>
        <w:rPr>
          <w:b/>
          <w:bCs/>
        </w:rPr>
        <w:t xml:space="preserve">双向进入机制</w:t>
      </w:r>
      <w:r>
        <w:t xml:space="preserve">：保密办负责人进入数据治理领导小组；涉密数据的共享、销毁等事项流程中，保密办为必经审批节点（见第12、13章）。</w:t>
      </w:r>
    </w:p>
    <w:p>
      <w:pPr>
        <w:pStyle w:val="Heading2"/>
      </w:pPr>
      <w:r>
        <w:t xml:space="preserve">3.4 运行机制</w:t>
      </w:r>
    </w:p>
    <w:tbl>
      <w:tblPr>
        <w:tblW w:w="5000" w:type="pct"/>
        <w:tblLayout w:type="autofit"/>
        <w:tblLook w:val="04A0" w:firstRow="1" w:lastRow="0" w:firstColumn="1" w:lastColumn="0" w:noHBand="0" w:noVBand="1"/>
      </w:tblPr>
      <w:tr>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机制</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频率</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参加范围</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主要内容</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数据质量月度例会</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每月</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数据管理办公室 + 各科室数据专员</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通报当月质量情况、协调整改事项、收集业务口径问题</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治理季度评审会</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每季度</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领导小组</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审议标准/制度事项、裁决争议、审定下季度重点</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年度治理评估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每年</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领导小组组织</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评估年度目标达成、修订制度、审定下年度计划</w:t>
            </w:r>
          </w:p>
        </w:tc>
      </w:tr>
    </w:tbl>
    <w:p/>
    <w:p>
      <w:pPr>
        <w:pStyle w:val="Heading1"/>
        <w:pageBreakBefore/>
      </w:pPr>
      <w:r>
        <w:t xml:space="preserve">第4章 制度体系</w:t>
      </w:r>
    </w:p>
    <w:p>
      <w:r>
        <w:rPr>
          <w:b/>
          <w:bCs/>
        </w:rPr>
        <w:t xml:space="preserve">【本章导读】</w:t>
      </w:r>
      <w:r>
        <w:t xml:space="preserve"> 制度是治理的抓手。本章设计"管理办法—实施细则—操作规程"三级制度框架：管理办法一份、所级发文，确立治理的合法性；实施细则按治理域各一份，本方案第二篇即为各细则的蓝本；操作规程落到表单级。一期优先制定三份细则：数据标准管理、数据质量管理、数据填报规范。</w:t>
      </w:r>
    </w:p>
    <w:p>
      <w:pPr>
        <w:pStyle w:val="Heading2"/>
      </w:pPr>
      <w:r>
        <w:t xml:space="preserve">4.1 三级制度框架</w:t>
      </w:r>
    </w:p>
    <w:tbl>
      <w:tblPr>
        <w:tblW w:w="5000" w:type="pct"/>
        <w:tblLayout w:type="autofit"/>
        <w:tblLook w:val="04A0" w:firstRow="1" w:lastRow="0" w:firstColumn="1" w:lastColumn="0" w:noHBand="0" w:noVBand="1"/>
      </w:tblPr>
      <w:tr>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层级</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文件</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发布主体</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定位</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第一级 管理办法</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《数据管理办法》（1 份）</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所级发文</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确立治理组织、职责、基本原则与奖惩依据，是全部数据制度的母法</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第二级 实施细则</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各治理域细则（约 9 份）</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领导小组审定、数据管理办公室发布</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规定各治理域的具体规则与流程，本方案第 5~13 章即各细则蓝本</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第三级 操作规程</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操作规程与表单（若干）</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数据管理办公室发布</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填报规范、申请单、审批单、台账等操作载体，见第16章与附录E</w:t>
            </w:r>
          </w:p>
        </w:tc>
      </w:tr>
    </w:tbl>
    <w:p/>
    <w:p>
      <w:pPr>
        <w:pStyle w:val="Heading2"/>
      </w:pPr>
      <w:r>
        <w:t xml:space="preserve">4.2 制度清单与制定优先级</w:t>
      </w:r>
    </w:p>
    <w:p>
      <w:r>
        <w:t xml:space="preserve">制度建设与三期路线（第15章）对齐，避免一次性铺开：</w:t>
      </w:r>
    </w:p>
    <w:tbl>
      <w:tblPr>
        <w:tblW w:w="5000" w:type="pct"/>
        <w:tblLayout w:type="autofit"/>
        <w:tblLook w:val="04A0" w:firstRow="1" w:lastRow="0" w:firstColumn="1" w:lastColumn="0" w:noHBand="0" w:noVBand="1"/>
      </w:tblPr>
      <w:tr>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优先级</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制度文件</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对应章节</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计划时点</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一期必备</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《数据管理办法》</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第3章</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一期第 1~2 月</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一期必备</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《数据标准管理细则》</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第5章</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一期第 2~3 月</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一期必备</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《数据质量管理细则》</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第10章</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一期第 3~4 月</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一期必备</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《数据填报规范》（操作规程）</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第16章</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一期第 2~3 月</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二期</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《主数据管理细则》《指标管理细则》《元数据管理细则》</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第7/8/9章</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二期上半段</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二期</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《数据安全管理细则》《数据生命周期管理细则》</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第11/12章</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二期（与保密办会签）</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三期</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《数据共享与服务管理细则》</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第13章</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三期</w:t>
            </w:r>
          </w:p>
        </w:tc>
      </w:tr>
    </w:tbl>
    <w:p/>
    <w:p>
      <w:pPr>
        <w:pStyle w:val="Heading2"/>
      </w:pPr>
      <w:r>
        <w:t xml:space="preserve">4.3 制度的发布、修订与废止</w:t>
      </w:r>
    </w:p>
    <w:p>
      <w:pPr>
        <w:ind w:left="420" w:hanging="220"/>
        <w:spacing w:before="40" w:after="40"/>
      </w:pPr>
      <w:r>
        <w:t xml:space="preserve">• </w:t>
      </w:r>
      <w:r>
        <w:rPr>
          <w:b/>
          <w:bCs/>
        </w:rPr>
        <w:t xml:space="preserve">发布</w:t>
      </w:r>
      <w:r>
        <w:t xml:space="preserve">：细则由数据管理办公室起草，征求相关科室意见后报领导小组审定发布；管理办法按所内发文程序办理。</w:t>
      </w:r>
    </w:p>
    <w:p>
      <w:pPr>
        <w:ind w:left="420" w:hanging="220"/>
        <w:spacing w:before="40" w:after="40"/>
      </w:pPr>
      <w:r>
        <w:t xml:space="preserve">• </w:t>
      </w:r>
      <w:r>
        <w:rPr>
          <w:b/>
          <w:bCs/>
        </w:rPr>
        <w:t xml:space="preserve">修订</w:t>
      </w:r>
      <w:r>
        <w:t xml:space="preserve">：每年年度治理评估时统一评审修订需求；涉及职责调整或考核规则的修订必须经领导小组审定。</w:t>
      </w:r>
    </w:p>
    <w:p>
      <w:pPr>
        <w:ind w:left="420" w:hanging="220"/>
        <w:spacing w:before="40" w:after="40"/>
      </w:pPr>
      <w:r>
        <w:t xml:space="preserve">• </w:t>
      </w:r>
      <w:r>
        <w:rPr>
          <w:b/>
          <w:bCs/>
        </w:rPr>
        <w:t xml:space="preserve">废止</w:t>
      </w:r>
      <w:r>
        <w:t xml:space="preserve">：被新版本替代的制度文件由数据管理办公室统一归档并公告废止，避免新旧版本并行。</w:t>
      </w:r>
    </w:p>
    <w:p>
      <w:pPr>
        <w:ind w:left="420" w:hanging="220"/>
        <w:spacing w:before="40" w:after="40"/>
      </w:pPr>
      <w:r>
        <w:t xml:space="preserve">• </w:t>
      </w:r>
      <w:r>
        <w:rPr>
          <w:b/>
          <w:bCs/>
        </w:rPr>
        <w:t xml:space="preserve">例外处理</w:t>
      </w:r>
      <w:r>
        <w:t xml:space="preserve">：制度未覆盖的新情况，由数据管理办公室提出临时处理意见并记录，作为下次修订输入；不允许各科室自行解释。</w:t>
      </w:r>
    </w:p>
    <w:p>
      <w:pPr>
        <w:pStyle w:val="Heading1"/>
        <w:pageBreakBefore/>
      </w:pPr>
      <w:r>
        <w:t xml:space="preserve">第二篇 治理域篇</w:t>
      </w:r>
    </w:p>
    <w:p>
      <w:pPr>
        <w:pStyle w:val="Heading1"/>
        <w:pageBreakBefore/>
      </w:pPr>
      <w:r>
        <w:t xml:space="preserve">第5章 数据标准管理</w:t>
      </w:r>
    </w:p>
    <w:p>
      <w:r>
        <w:rPr>
          <w:b/>
          <w:bCs/>
        </w:rPr>
        <w:t xml:space="preserve">【本章导读】</w:t>
      </w:r>
      <w:r>
        <w:t xml:space="preserve"> 数据标准回答"数据应该长什么样"：叫什么名（命名规范）、什么类型（数据类型标准）、能填哪些值（枚举值域标准）、怎么编号（编码规范）。本所已在数据平台建设中沉淀了一套完整的标准，本章将其提升为所级标准并配套管理流程——</w:t>
      </w:r>
      <w:r>
        <w:rPr>
          <w:b/>
          <w:bCs/>
        </w:rPr>
        <w:t xml:space="preserve">标准的生命力在于"变更有流程"</w:t>
      </w:r>
      <w:r>
        <w:t xml:space="preserve">：新增一个枚举值、改一个字段含义，都必须走申请评审，而不是谁想改就改。</w:t>
      </w:r>
    </w:p>
    <w:p>
      <w:pPr>
        <w:pStyle w:val="Heading2"/>
      </w:pPr>
      <w:r>
        <w:t xml:space="preserve">5.1 标准体系构成</w:t>
      </w:r>
    </w:p>
    <w:p>
      <w:r>
        <w:t xml:space="preserve">数据标准体系由四类标准构成，全量明细见附录C，本章列出框架与要点。</w:t>
      </w:r>
    </w:p>
    <w:p>
      <w:r>
        <w:rPr>
          <w:b/>
          <w:bCs/>
        </w:rPr>
        <w:t xml:space="preserve">（1）命名规范</w:t>
      </w:r>
      <w:r>
        <w:t xml:space="preserve">：约束数据仓库各层的表名、字段名，使任何人看到名称即可判断数据所属层级与含义。要点摘编：</w:t>
      </w:r>
    </w:p>
    <w:tbl>
      <w:tblPr>
        <w:tblW w:w="5000" w:type="pct"/>
        <w:tblLayout w:type="autofit"/>
        <w:tblLook w:val="04A0" w:firstRow="1" w:lastRow="0" w:firstColumn="1" w:lastColumn="0" w:noHBand="0" w:noVBand="1"/>
      </w:tblPr>
      <w:tr>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对象</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规则</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示例</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贴源层表</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ods_{系统或主题}_{源表名}</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ods_quality_issue_v2</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结构化层模型</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stg_{源系统}__{主题}_v{版本}</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stg_pm__risk_info_v2</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维度表</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dim_{实体名}</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dim_project_master</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明细层表</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biz_dwd_{主题}_{事实}_v{版本}</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biz_dwd_project_node_v2</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汇总层表</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biz_dws_{主题}_{粒度}_v{版本}</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biz_dws_progress_monthly_v2</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应用层表</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biz_ads_{主题}_{类型}_v{版本}</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biz_ads_progress_kpi_v2</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字段</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小写字母+下划线；布尔字段 is_ 前缀；时间字段 _date/_time 后缀</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is_delayed、plan_date</w:t>
            </w:r>
          </w:p>
        </w:tc>
      </w:tr>
    </w:tbl>
    <w:p/>
    <w:p>
      <w:r>
        <w:rPr>
          <w:b/>
          <w:bCs/>
        </w:rPr>
        <w:t xml:space="preserve">（2）数据类型标准</w:t>
      </w:r>
      <w:r>
        <w:t xml:space="preserve">：统一各类业务数据的存储类型，消除"同一金额字段两种精度"之类的隐患。要点：金额与数量统一 numeric(28,8)；比率字段统一约定存"比例"还是"百分数"并在字段说明中写明；月份统一 YYYY-MM 文本格式；布尔统一 boolean 类型。</w:t>
      </w:r>
    </w:p>
    <w:p>
      <w:r>
        <w:rPr>
          <w:b/>
          <w:bCs/>
        </w:rPr>
        <w:t xml:space="preserve">（3）枚举值域标准</w:t>
      </w:r>
      <w:r>
        <w:t xml:space="preserve">：所有"下拉选择"类字段的合法取值清单，是填报质量的第一道闸门。当前已标准化 9 类枚举：完成情况（6 值）、风险等级（高/中/低）、闭环状态（3 值）、原因分类（设计/工艺/操作/管理/外协外购/软件/元器件/其他）、质量问题状态（4 值）、更改类别（Ⅰ/Ⅱ/Ⅲ类）、专利类型、专利状态、信息来源。每个枚举值同时定义</w:t>
      </w:r>
      <w:r>
        <w:rPr>
          <w:b/>
          <w:bCs/>
        </w:rPr>
        <w:t xml:space="preserve">标准代码</w:t>
      </w:r>
      <w:r>
        <w:t xml:space="preserve">（如 HIGH）与</w:t>
      </w:r>
      <w:r>
        <w:rPr>
          <w:b/>
          <w:bCs/>
        </w:rPr>
        <w:t xml:space="preserve">标准显示值</w:t>
      </w:r>
      <w:r>
        <w:t xml:space="preserve">（如"高"），平台内部用代码、对人展示用显示值。</w:t>
      </w:r>
    </w:p>
    <w:p>
      <w:r>
        <w:rPr>
          <w:b/>
          <w:bCs/>
        </w:rPr>
        <w:t xml:space="preserve">（4）编码规范</w:t>
      </w:r>
      <w:r>
        <w:t xml:space="preserve">：约束业务标识的生成规则，保证同一业务对象在多次导入间标识稳定。要点：项目统一标识采用平台生成的全局唯一编号；任务/问题/风险/变更等台账记录按"项目+名称"等业务要素生成稳定标识，作为覆盖更新的依据；每次文件导入生成批次号（BATCH_日期_序号）用于追溯与重算。</w:t>
      </w:r>
    </w:p>
    <w:p>
      <w:pPr>
        <w:pStyle w:val="Heading2"/>
      </w:pPr>
      <w:r>
        <w:t xml:space="preserve">5.2 标准的适用边界</w:t>
      </w:r>
    </w:p>
    <w:p>
      <w:pPr>
        <w:ind w:left="420" w:hanging="220"/>
        <w:spacing w:before="40" w:after="40"/>
      </w:pPr>
      <w:r>
        <w:t xml:space="preserve">• </w:t>
      </w:r>
      <w:r>
        <w:t xml:space="preserve">标准适用于数据管理平台内全部数据层，以及</w:t>
      </w:r>
      <w:r>
        <w:rPr>
          <w:b/>
          <w:bCs/>
        </w:rPr>
        <w:t xml:space="preserve">各科室的填报模板</w:t>
      </w:r>
      <w:r>
        <w:t xml:space="preserve">——模板的列名、下拉值域必须与标准一致，这是标准向源头延伸的关键。</w:t>
      </w:r>
    </w:p>
    <w:p>
      <w:pPr>
        <w:ind w:left="420" w:hanging="220"/>
        <w:spacing w:before="40" w:after="40"/>
      </w:pPr>
      <w:r>
        <w:t xml:space="preserve">• </w:t>
      </w:r>
      <w:r>
        <w:t xml:space="preserve">在线接入系统（ERP 及未来的 PLM/QMS）的源端字段不强制改名，但接入平台时必须完成与标准的映射对照（见第14章接入前置件）。</w:t>
      </w:r>
    </w:p>
    <w:p>
      <w:pPr>
        <w:pStyle w:val="Heading2"/>
      </w:pPr>
      <w:r>
        <w:t xml:space="preserve">5.3 标准管理流程</w:t>
      </w:r>
    </w:p>
    <w:tbl>
      <w:tblPr>
        <w:tblW w:w="5000" w:type="pct"/>
        <w:tblLayout w:type="autofit"/>
        <w:tblLook w:val="04A0" w:firstRow="1" w:lastRow="0" w:firstColumn="1" w:lastColumn="0" w:noHBand="0" w:noVBand="1"/>
      </w:tblPr>
      <w:tr>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步骤</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动作</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责任角色</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输出</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1 提出</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任何科室可提出标准新增/变更申请（含业务理由）</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科室数据专员</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标准变更申请单</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2 初审</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评估必要性、与既有标准冲突、下游影响范围</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数据管理办公室</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初审意见</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3 会签</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涉及口径的由相关业务科室会签确认</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相关科室负责人</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会签意见</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4 审定发布</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一般变更由数据管理办公室发布；涉及跨科室口径或考核口径的报领导小组审定</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数据管理办公室/领导小组</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新版标准 + 发布通知</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5 落地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同步更新填报模板、平台校验规则、数据字典</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数据管理办公室</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更新记录</w:t>
            </w:r>
          </w:p>
        </w:tc>
      </w:tr>
    </w:tbl>
    <w:p/>
    <w:p>
      <w:r>
        <w:t xml:space="preserve">标准变更必须评估下游影响：一个枚举值的改动可能影响历史数据归类与既有指标，评估结论要写入申请单。</w:t>
      </w:r>
      <w:r>
        <w:rPr>
          <w:b/>
          <w:bCs/>
        </w:rPr>
        <w:t xml:space="preserve">任何未走流程的"口头标准"一律无效。</w:t>
      </w:r>
    </w:p>
    <w:p>
      <w:pPr>
        <w:pBdr>
          <w:left w:val="single" w:sz="18" w:color="6B7280"/>
        </w:pBdr>
        <w:shd w:val="clear" w:color="auto" w:fill="F9FAFB"/>
        <w:ind w:left="200"/>
        <w:spacing w:before="120" w:after="120"/>
      </w:pPr>
      <w:r>
        <w:rPr>
          <w:b/>
          <w:bCs/>
        </w:rPr>
        <w:t xml:space="preserve">【业务人员须知】</w:t>
      </w:r>
      <w:r>
        <w:t xml:space="preserve"> 填报时只能从下拉列表中选择标准值，不要手工输入近义词（如把"高"写成"高风险"）；如果下拉里没有你需要的值，通过科室数据专员提交新增申请，等新值发布后再填——自造的值会被平台判为无效数据打回。</w:t>
      </w:r>
    </w:p>
    <w:p>
      <w:pPr>
        <w:pStyle w:val="Heading1"/>
        <w:pageBreakBefore/>
      </w:pPr>
      <w:r>
        <w:t xml:space="preserve">第6章 数据架构与模型管理</w:t>
      </w:r>
    </w:p>
    <w:p>
      <w:r>
        <w:rPr>
          <w:b/>
          <w:bCs/>
        </w:rPr>
        <w:t xml:space="preserve">【本章导读】</w:t>
      </w:r>
      <w:r>
        <w:t xml:space="preserve"> 数据从源头到看板要经过多层加工，如果加工规则不受控，同一份源数据会被不同人加工出不同结果。本章规定数据仓库五层架构中</w:t>
      </w:r>
      <w:r>
        <w:rPr>
          <w:b/>
          <w:bCs/>
        </w:rPr>
        <w:t xml:space="preserve">每一层允许做什么、禁止做什么</w:t>
      </w:r>
      <w:r>
        <w:t xml:space="preserve">（分层红线），以及数据模型从设计、评审到上线的管理流程。这些红线是平台数据可信的技术基石。</w:t>
      </w:r>
    </w:p>
    <w:p>
      <w:pPr>
        <w:pStyle w:val="Heading2"/>
      </w:pPr>
      <w:r>
        <w:t xml:space="preserve">6.1 分层架构与各层职责</w:t>
      </w:r>
    </w:p>
    <w:tbl>
      <w:tblPr>
        <w:tblW w:w="5000" w:type="pct"/>
        <w:tblLayout w:type="autofit"/>
        <w:tblLook w:val="04A0" w:firstRow="1" w:lastRow="0" w:firstColumn="1" w:lastColumn="0" w:noHBand="0" w:noVBand="1"/>
      </w:tblPr>
      <w:tr>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层</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名称</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职责</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一句话红线</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ODS</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贴源层</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原始数据原样落地，保留全部导入历史与来源信息</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只落地、不解释</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STG</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结构化层</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类型转换、占位符清理、字段规范化改名、来源信息标准化</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只收敛格式、不引入业务语义</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DWD</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明细层</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业务解释：别名归一、分类打标、口径派生，业务含义的唯一落地层</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一切业务语义以维度真值表为依据</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DWS</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汇总层</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按主题、按月度等粒度汇总</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只汇总明细层结果</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ADS</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应用层</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面向看板与服务的最终指标结果</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只消费明细/汇总层，不回头取原始数据</w:t>
            </w:r>
          </w:p>
        </w:tc>
      </w:tr>
    </w:tbl>
    <w:p/>
    <w:p>
      <w:pPr>
        <w:pStyle w:val="Heading2"/>
      </w:pPr>
      <w:r>
        <w:t xml:space="preserve">6.2 分层红线规则</w:t>
      </w:r>
    </w:p>
    <w:p>
      <w:r>
        <w:rPr>
          <w:b/>
          <w:bCs/>
        </w:rPr>
        <w:t xml:space="preserve">结构化层（STG）红线</w:t>
      </w:r>
      <w:r>
        <w:t xml:space="preserve">——该层是"原始数据"与"业务解释"之间的隔离带，纪律最严格：</w:t>
      </w:r>
    </w:p>
    <w:p>
      <w:pPr>
        <w:ind w:left="420" w:hanging="220"/>
        <w:spacing w:before="40" w:after="40"/>
      </w:pPr>
      <w:r>
        <w:t xml:space="preserve">• </w:t>
      </w:r>
      <w:r>
        <w:t xml:space="preserve">允许做：安全的类型转换（文本转日期/数值，转不动的置空并可追溯）、占位符（如"—""无""N/A"）统一置空、去除首尾空白、字段改为标准名、登记来源信息（来源文件、工作表、批次、行号、导入时间）。</w:t>
      </w:r>
    </w:p>
    <w:p>
      <w:pPr>
        <w:ind w:left="420" w:hanging="220"/>
        <w:spacing w:before="40" w:after="40"/>
      </w:pPr>
      <w:r>
        <w:t xml:space="preserve">• </w:t>
      </w:r>
      <w:r>
        <w:t xml:space="preserve">禁止做：任何条件分类映射、任何跨字段计算、任何日期派生（如从日期算月份）、任何布尔判断派生、任何值翻译。一句话：</w:t>
      </w:r>
      <w:r>
        <w:rPr>
          <w:b/>
          <w:bCs/>
        </w:rPr>
        <w:t xml:space="preserve">结构化层出来的每一行与原始数据一一对应，字段只做"同位变换"</w:t>
      </w:r>
      <w:r>
        <w:t xml:space="preserve">。</w:t>
      </w:r>
    </w:p>
    <w:p>
      <w:r>
        <w:rPr>
          <w:b/>
          <w:bCs/>
        </w:rPr>
        <w:t xml:space="preserve">依赖红线</w:t>
      </w:r>
      <w:r>
        <w:t xml:space="preserve">——防止越层取数造成口径旁路：</w:t>
      </w:r>
    </w:p>
    <w:p>
      <w:pPr>
        <w:ind w:left="420" w:hanging="220"/>
        <w:spacing w:before="40" w:after="40"/>
      </w:pPr>
      <w:r>
        <w:t xml:space="preserve">• </w:t>
      </w:r>
      <w:r>
        <w:t xml:space="preserve">明细层、汇总层、应用层一律禁止直接读取贴源层原始表；所有数据必须经结构化层进入加工链路。</w:t>
      </w:r>
    </w:p>
    <w:p>
      <w:pPr>
        <w:ind w:left="420" w:hanging="220"/>
        <w:spacing w:before="40" w:after="40"/>
      </w:pPr>
      <w:r>
        <w:t xml:space="preserve">• </w:t>
      </w:r>
      <w:r>
        <w:t xml:space="preserve">汇总层、应用层禁止直接读取结构化层，只能消费明细层及以上的成果。</w:t>
      </w:r>
    </w:p>
    <w:p>
      <w:pPr>
        <w:ind w:left="420" w:hanging="220"/>
        <w:spacing w:before="40" w:after="40"/>
      </w:pPr>
      <w:r>
        <w:t xml:space="preserve">• </w:t>
      </w:r>
      <w:r>
        <w:t xml:space="preserve">所有业务分类、别名归一、口径派生只允许发生在明细层，且必须以维度真值表（见第7章）为唯一依据，禁止在加工脚本里硬编码业务规则。</w:t>
      </w:r>
    </w:p>
    <w:p>
      <w:r>
        <w:rPr>
          <w:b/>
          <w:bCs/>
        </w:rPr>
        <w:t xml:space="preserve">明细层加工三段式</w:t>
      </w:r>
      <w:r>
        <w:t xml:space="preserve">——明细层加工统一遵循"归一化 → 派生 → 打标"三段结构：先用别名对照表把原始值归一为标准代码，再做时间分组、天数差等口径派生，最后关联维度真值表补齐标准名称与业务标记。三段式使任何一个字段的加工逻辑都可以被审查与复现。</w:t>
      </w:r>
    </w:p>
    <w:p>
      <w:pPr>
        <w:pStyle w:val="Heading2"/>
      </w:pPr>
      <w:r>
        <w:t xml:space="preserve">6.3 模型管理流程</w:t>
      </w:r>
    </w:p>
    <w:tbl>
      <w:tblPr>
        <w:tblW w:w="5000" w:type="pct"/>
        <w:tblLayout w:type="autofit"/>
        <w:tblLook w:val="04A0" w:firstRow="1" w:lastRow="0" w:firstColumn="1" w:lastColumn="0" w:noHBand="0" w:noVBand="1"/>
      </w:tblPr>
      <w:tr>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步骤</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内容</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责任角色</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1 设计</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按分层规范与命名标准完成模型设计，说明数据来源、加工逻辑、输出口径</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模型开发人员</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2 评审</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数据管理办公室组织评审：分层红线合规性、命名合规性、口径与指标字典一致性；涉及业务口径的邀请科室数据专员参加</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数据管理办公室</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3 登记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通过评审的模型登记入模型清单（模型名、层级、职责、责任人、上线日期）</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数据管理办公室</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4 上线</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纳入统一调度运行</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平台运维</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5 变更</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模型变更重新走评审；影响下游口径的变更须通知全部消费方</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模型开发人员 + 数据管理办公室</w:t>
            </w:r>
          </w:p>
        </w:tc>
      </w:tr>
    </w:tbl>
    <w:p/>
    <w:p>
      <w:pPr>
        <w:pStyle w:val="Heading2"/>
      </w:pPr>
      <w:r>
        <w:t xml:space="preserve">6.4 血缘可解释性要求</w:t>
      </w:r>
    </w:p>
    <w:p>
      <w:r>
        <w:t xml:space="preserve">任何看板上的数字必须能够回答"从哪来"：</w:t>
      </w:r>
      <w:r>
        <w:rPr>
          <w:b/>
          <w:bCs/>
        </w:rPr>
        <w:t xml:space="preserve">填报模板的哪一列 → 贴源层哪张表哪个字段 → 经过哪些层的什么加工 → 最终形成该指标</w:t>
      </w:r>
      <w:r>
        <w:t xml:space="preserve">。模型评审时血缘可解释性是必查项；平台元数据管理记录该链路（见第9章）。做不到全链路解释的模型不得上线。</w:t>
      </w:r>
    </w:p>
    <w:p>
      <w:pPr>
        <w:pStyle w:val="Heading2"/>
      </w:pPr>
      <w:r>
        <w:t xml:space="preserve">6.5 落地现状：已上线模型总览</w:t>
      </w:r>
    </w:p>
    <w:p>
      <w:r>
        <w:t xml:space="preserve">本章规则不是纸面要求——项目管控、财务两个核心域已按此架构完成建模并上线运行，共 </w:t>
      </w:r>
      <w:r>
        <w:rPr>
          <w:b/>
          <w:bCs/>
        </w:rPr>
        <w:t xml:space="preserve">67 个受控模型</w:t>
      </w:r>
      <w:r>
        <w:t xml:space="preserve">：</w:t>
      </w:r>
    </w:p>
    <w:tbl>
      <w:tblPr>
        <w:tblW w:w="5000" w:type="pct"/>
        <w:tblLayout w:type="autofit"/>
        <w:tblLook w:val="04A0" w:firstRow="1" w:lastRow="0" w:firstColumn="1" w:lastColumn="0" w:noHBand="0" w:noVBand="1"/>
      </w:tblPr>
      <w:tr>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业务域</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结构化层</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明细层（维度真值/别名对照/事实）</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汇总层</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应用层</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合计</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项目管控域（进度/质量/风险/技术状态/预算）</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5 个视图</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8 张维度真值表 + 10 张别名对照表 + 5 张事实表</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5 张</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10 张指标表</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43</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财务域（自有资金/项目经费/辅助余额/个人余额）</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4 个视图</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8 张维度字典 + 4 张事实表</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4 张</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4 张指标表</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24</w:t>
            </w:r>
          </w:p>
        </w:tc>
      </w:tr>
    </w:tbl>
    <w:p/>
    <w:p>
      <w:r>
        <w:t xml:space="preserve">两个域的模型层层对应本章红线：结构化层全部为"只收敛格式"的视图；业务分类全部落在维度真值表；每张应用层指标表与指标字典（第8章、附录H）一一对应。全量模型清单及职责说明见</w:t>
      </w:r>
      <w:r>
        <w:rPr>
          <w:b/>
          <w:bCs/>
        </w:rPr>
        <w:t xml:space="preserve">附录G</w:t>
      </w:r>
      <w:r>
        <w:t xml:space="preserve">，后续新增域按同一套规则扩展。</w:t>
      </w:r>
    </w:p>
    <w:p>
      <w:pPr>
        <w:pBdr>
          <w:left w:val="single" w:sz="18" w:color="6B7280"/>
        </w:pBdr>
        <w:shd w:val="clear" w:color="auto" w:fill="F9FAFB"/>
        <w:ind w:left="200"/>
        <w:spacing w:before="120" w:after="120"/>
      </w:pPr>
      <w:r>
        <w:rPr>
          <w:b/>
          <w:bCs/>
        </w:rPr>
        <w:t xml:space="preserve">【业务人员须知】</w:t>
      </w:r>
      <w:r>
        <w:t xml:space="preserve"> 你在模板里填的每一个格子，平台都记录了"哪个文件、哪个工作表、第几行、何时导入"。如果看板数字有疑问，可以通过数据管理办公室一路查回你的原始填报——这既是数据可信的保障，也意味着填报质量是可定位、可追溯的。</w:t>
      </w:r>
    </w:p>
    <w:p>
      <w:pPr>
        <w:pStyle w:val="Heading1"/>
        <w:pageBreakBefore/>
      </w:pPr>
      <w:r>
        <w:t xml:space="preserve">第7章 主数据管理</w:t>
      </w:r>
    </w:p>
    <w:p>
      <w:r>
        <w:rPr>
          <w:b/>
          <w:bCs/>
        </w:rPr>
        <w:t xml:space="preserve">【本章导读】</w:t>
      </w:r>
      <w:r>
        <w:t xml:space="preserve"> 主数据是被各业务域共同引用的基础数据——项目、物料、供应商、人员、科室、会计科目。主数据不一致是"数据对不上"的最大根源：项目在管控台账叫一个名、在 ERP 里是另一个编码，两边数据就挂不到一起。本章重点规定</w:t>
      </w:r>
      <w:r>
        <w:rPr>
          <w:b/>
          <w:bCs/>
        </w:rPr>
        <w:t xml:space="preserve">项目主数据的多源融合机制</w:t>
      </w:r>
      <w:r>
        <w:t xml:space="preserve">与</w:t>
      </w:r>
      <w:r>
        <w:rPr>
          <w:b/>
          <w:bCs/>
        </w:rPr>
        <w:t xml:space="preserve">别名治理机制</w:t>
      </w:r>
      <w:r>
        <w:t xml:space="preserve">，并给出主数据的日常管理流程。</w:t>
      </w:r>
    </w:p>
    <w:p>
      <w:pPr>
        <w:pStyle w:val="Heading2"/>
      </w:pPr>
      <w:r>
        <w:t xml:space="preserve">7.1 主数据识别与归口</w:t>
      </w:r>
    </w:p>
    <w:tbl>
      <w:tblPr>
        <w:tblW w:w="5000" w:type="pct"/>
        <w:tblLayout w:type="autofit"/>
        <w:tblLook w:val="04A0" w:firstRow="1" w:lastRow="0" w:firstColumn="1" w:lastColumn="0" w:noHBand="0" w:noVBand="1"/>
      </w:tblPr>
      <w:tr>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主数据</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权威来源</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业务归口</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说明</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项目</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多源融合（见7.2）</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项目管理科室</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各域数据挂接的地基，财务、采购、质量数据都靠它关联到项目</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物料</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ERP</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物资采购科室</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含物料分类</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供应商</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ERP</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物资采购科室</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人员</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平台组织模块</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人事科室</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含姓名别名管理</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科室</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平台组织模块</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人事/综合科室</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含简称、历史名称别名</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会计科目</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财务系统/台账</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财务科室</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项目经费、余额数据的分类基础</w:t>
            </w:r>
          </w:p>
        </w:tc>
      </w:tr>
    </w:tbl>
    <w:p/>
    <w:p>
      <w:r>
        <w:t xml:space="preserve">每类主数据明确一个</w:t>
      </w:r>
      <w:r>
        <w:rPr>
          <w:b/>
          <w:bCs/>
        </w:rPr>
        <w:t xml:space="preserve">业务归口科室</w:t>
      </w:r>
      <w:r>
        <w:t xml:space="preserve">：该科室对这类主数据的正确性有最终确认权（技术登记由数据管理办公室执行）。</w:t>
      </w:r>
    </w:p>
    <w:p>
      <w:pPr>
        <w:pStyle w:val="Heading2"/>
      </w:pPr>
      <w:r>
        <w:t xml:space="preserve">7.2 项目主数据的多源融合</w:t>
      </w:r>
    </w:p>
    <w:p>
      <w:r>
        <w:rPr>
          <w:b/>
          <w:bCs/>
        </w:rPr>
        <w:t xml:space="preserve">现状</w:t>
      </w:r>
      <w:r>
        <w:t xml:space="preserve">：项目在管控台账（离线填报）中以"项目名称/编号"标识，在 ERP 中以"项目编码"标识；未来 PLM、QMS 上线后还会各自引入项目标识。</w:t>
      </w:r>
    </w:p>
    <w:p>
      <w:r>
        <w:rPr>
          <w:b/>
          <w:bCs/>
        </w:rPr>
        <w:t xml:space="preserve">融合机制</w:t>
      </w:r>
      <w:r>
        <w:t xml:space="preserve">：</w:t>
      </w:r>
    </w:p>
    <w:p>
      <w:pPr>
        <w:ind w:left="420" w:hanging="220"/>
        <w:spacing w:before="40" w:after="40"/>
      </w:pPr>
      <w:r>
        <w:t xml:space="preserve">1. </w:t>
      </w:r>
      <w:r>
        <w:rPr>
          <w:b/>
          <w:bCs/>
        </w:rPr>
        <w:t xml:space="preserve">统一项目标识</w:t>
      </w:r>
      <w:r>
        <w:t xml:space="preserve">：平台为每个项目生成全局唯一的统一标识，作为平台内一切项目数据关联的主键；</w:t>
      </w:r>
    </w:p>
    <w:p>
      <w:pPr>
        <w:ind w:left="420" w:hanging="220"/>
        <w:spacing w:before="40" w:after="40"/>
      </w:pPr>
      <w:r>
        <w:t xml:space="preserve">2. </w:t>
      </w:r>
      <w:r>
        <w:rPr>
          <w:b/>
          <w:bCs/>
        </w:rPr>
        <w:t xml:space="preserve">项目映射表</w:t>
      </w:r>
      <w:r>
        <w:t xml:space="preserve">：维护"统一标识 ↔ 管控台账项目名称 ↔ ERP 项目编码（↔ 未来 PLM/QMS 项目标识）"的对照关系；</w:t>
      </w:r>
    </w:p>
    <w:p>
      <w:pPr>
        <w:ind w:left="420" w:hanging="220"/>
        <w:spacing w:before="40" w:after="40"/>
      </w:pPr>
      <w:r>
        <w:t xml:space="preserve">3. </w:t>
      </w:r>
      <w:r>
        <w:rPr>
          <w:b/>
          <w:bCs/>
        </w:rPr>
        <w:t xml:space="preserve">自动匹配 + 人工确认</w:t>
      </w:r>
      <w:r>
        <w:t xml:space="preserve">：新项目数据进入时先按名称/编码自动匹配，自动匹配结果必须经项目管理科室</w:t>
      </w:r>
      <w:r>
        <w:rPr>
          <w:b/>
          <w:bCs/>
        </w:rPr>
        <w:t xml:space="preserve">人工确认</w:t>
      </w:r>
      <w:r>
        <w:t xml:space="preserve">后方可生效（平台以"是否已确认"标记区分），未确认的映射不得用于正式报表；</w:t>
      </w:r>
    </w:p>
    <w:p>
      <w:pPr>
        <w:ind w:left="420" w:hanging="220"/>
        <w:spacing w:before="40" w:after="40"/>
      </w:pPr>
      <w:r>
        <w:t xml:space="preserve">4. </w:t>
      </w:r>
      <w:r>
        <w:rPr>
          <w:b/>
          <w:bCs/>
        </w:rPr>
        <w:t xml:space="preserve">映射完整率监控</w:t>
      </w:r>
      <w:r>
        <w:t xml:space="preserve">：映射完整率是一级质量指标（目标 ≥95%，见第10章），映射缺失清单每月随质量通报下发。</w:t>
      </w:r>
    </w:p>
    <w:p>
      <w:r>
        <w:rPr>
          <w:b/>
          <w:bCs/>
        </w:rPr>
        <w:t xml:space="preserve">未来系统接入的强制要求</w:t>
      </w:r>
      <w:r>
        <w:t xml:space="preserve">：PLM、QMS 及 ERP 新模块接入前，必须先完成其项目标识与统一标识的映射初始化（见第14章接入前置件），否则不允许数据进入明细层。</w:t>
      </w:r>
    </w:p>
    <w:p>
      <w:pPr>
        <w:pStyle w:val="Heading2"/>
      </w:pPr>
      <w:r>
        <w:t xml:space="preserve">7.3 别名治理</w:t>
      </w:r>
    </w:p>
    <w:p>
      <w:r>
        <w:t xml:space="preserve">同一实体的多种写法通过</w:t>
      </w:r>
      <w:r>
        <w:rPr>
          <w:b/>
          <w:bCs/>
        </w:rPr>
        <w:t xml:space="preserve">别名对照机制</w:t>
      </w:r>
      <w:r>
        <w:t xml:space="preserve">归一：每类易混字段维护一张"别名 → 标准值"对照表，明细层加工时自动把别名归一为标准值。已建立别名对照的字段包括：科室名称、人员姓名、节点类型、风险等级、风险分类、风险状态、质量问题状态、原因分类、技术状态更改类别、通用是否值、整改落实状态、签署状态等十余类。</w:t>
      </w:r>
    </w:p>
    <w:p>
      <w:r>
        <w:t xml:space="preserve">别名治理的管理要求：</w:t>
      </w:r>
    </w:p>
    <w:p>
      <w:pPr>
        <w:ind w:left="420" w:hanging="220"/>
        <w:spacing w:before="40" w:after="40"/>
      </w:pPr>
      <w:r>
        <w:t xml:space="preserve">• </w:t>
      </w:r>
      <w:r>
        <w:rPr>
          <w:b/>
          <w:bCs/>
        </w:rPr>
        <w:t xml:space="preserve">别名对照表是受控数据</w:t>
      </w:r>
      <w:r>
        <w:t xml:space="preserve">：新增别名条目须经业务归口科室确认，由数据管理办公室登记，禁止加工人员私自添加；</w:t>
      </w:r>
    </w:p>
    <w:p>
      <w:pPr>
        <w:ind w:left="420" w:hanging="220"/>
        <w:spacing w:before="40" w:after="40"/>
      </w:pPr>
      <w:r>
        <w:t xml:space="preserve">• </w:t>
      </w:r>
      <w:r>
        <w:rPr>
          <w:b/>
          <w:bCs/>
        </w:rPr>
        <w:t xml:space="preserve">别名只增不删</w:t>
      </w:r>
      <w:r>
        <w:t xml:space="preserve">：历史数据依赖既有别名归一，废弃写法保留在对照表中并标注"不再使用"；</w:t>
      </w:r>
    </w:p>
    <w:p>
      <w:pPr>
        <w:ind w:left="420" w:hanging="220"/>
        <w:spacing w:before="40" w:after="40"/>
      </w:pPr>
      <w:r>
        <w:t xml:space="preserve">• </w:t>
      </w:r>
      <w:r>
        <w:rPr>
          <w:b/>
          <w:bCs/>
        </w:rPr>
        <w:t xml:space="preserve">别名膨胀是源头问题的信号</w:t>
      </w:r>
      <w:r>
        <w:t xml:space="preserve">：某字段别名条目持续增长，说明填报模板管控失效，应回到模板与培训解决（见第10章源头质量控制），而不是无限扩充对照表。</w:t>
      </w:r>
    </w:p>
    <w:p>
      <w:pPr>
        <w:pStyle w:val="Heading2"/>
      </w:pPr>
      <w:r>
        <w:t xml:space="preserve">7.4 主数据管理流程</w:t>
      </w:r>
    </w:p>
    <w:tbl>
      <w:tblPr>
        <w:tblW w:w="5000" w:type="pct"/>
        <w:tblLayout w:type="autofit"/>
        <w:tblLook w:val="04A0" w:firstRow="1" w:lastRow="0" w:firstColumn="1" w:lastColumn="0" w:noHBand="0" w:noVBand="1"/>
      </w:tblPr>
      <w:tr>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步骤</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动作</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责任角色</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1 申请</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新增/变更主数据（如新项目立项、科室调整、新增别名）</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科室数据专员提交申请单</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2 确认</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业务归口科室确认业务正确性</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归口科室负责人</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3 登记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数据管理办公室在平台登记生效，更新映射/别名对照</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数据管理办公室</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4 分发</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变更同步至填报模板下拉值域与相关系统</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数据管理办公室</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5 稽核</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每季度主数据一致性稽核（重复、失效、映射缺失）</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数据管理办公室</w:t>
            </w:r>
          </w:p>
        </w:tc>
      </w:tr>
    </w:tbl>
    <w:p/>
    <w:p>
      <w:pPr>
        <w:pStyle w:val="Heading2"/>
      </w:pPr>
      <w:r>
        <w:t xml:space="preserve">7.5 落地实例：项目主数据的属性设计</w:t>
      </w:r>
    </w:p>
    <w:p>
      <w:r>
        <w:t xml:space="preserve">7.2 节的融合机制已在平台落地为"融合项目主数据表"，其属性设计体现三个治理要点：</w:t>
      </w:r>
    </w:p>
    <w:p>
      <w:pPr>
        <w:ind w:left="420" w:hanging="220"/>
        <w:spacing w:before="40" w:after="40"/>
      </w:pPr>
      <w:r>
        <w:t xml:space="preserve">1. </w:t>
      </w:r>
      <w:r>
        <w:rPr>
          <w:b/>
          <w:bCs/>
        </w:rPr>
        <w:t xml:space="preserve">一个锚点</w:t>
      </w:r>
      <w:r>
        <w:t xml:space="preserve">：project_uid（项目统一标识）为主键，全所项目数据关联的唯一锚点；</w:t>
      </w:r>
    </w:p>
    <w:p>
      <w:pPr>
        <w:ind w:left="420" w:hanging="220"/>
        <w:spacing w:before="40" w:after="40"/>
      </w:pPr>
      <w:r>
        <w:t xml:space="preserve">2. </w:t>
      </w:r>
      <w:r>
        <w:rPr>
          <w:b/>
          <w:bCs/>
        </w:rPr>
        <w:t xml:space="preserve">多源落位</w:t>
      </w:r>
      <w:r>
        <w:t xml:space="preserve">：台账侧名称（唯一约束）与 ERP 侧主键/编码/名称并排存放，data_source 字段标记来源覆盖（台账/ERP/双源）；未来 PLM、QMS 的项目标识按同一模式增列，不推翻结构；</w:t>
      </w:r>
    </w:p>
    <w:p>
      <w:pPr>
        <w:ind w:left="420" w:hanging="220"/>
        <w:spacing w:before="40" w:after="40"/>
      </w:pPr>
      <w:r>
        <w:t xml:space="preserve">3. </w:t>
      </w:r>
      <w:r>
        <w:rPr>
          <w:b/>
          <w:bCs/>
        </w:rPr>
        <w:t xml:space="preserve">确认留痕</w:t>
      </w:r>
      <w:r>
        <w:t xml:space="preserve">：is_verified（是否人工确认）字段落实"自动匹配必须人工确认"的流程要求（7.2），未确认记录不进正式报表。</w:t>
      </w:r>
    </w:p>
    <w:p>
      <w:r>
        <w:t xml:space="preserve">完整字段表见附录G.3.1。物料、供应商、人员、科室、会计科目主数据的属性设计遵循同样的"标识 + 名称 + 别名 + 有效性 + 审计字段"模式。</w:t>
      </w:r>
    </w:p>
    <w:p>
      <w:pPr>
        <w:pBdr>
          <w:left w:val="single" w:sz="18" w:color="6B7280"/>
        </w:pBdr>
        <w:shd w:val="clear" w:color="auto" w:fill="F9FAFB"/>
        <w:ind w:left="200"/>
        <w:spacing w:before="120" w:after="120"/>
      </w:pPr>
      <w:r>
        <w:rPr>
          <w:b/>
          <w:bCs/>
        </w:rPr>
        <w:t xml:space="preserve">【业务人员须知】</w:t>
      </w:r>
      <w:r>
        <w:t xml:space="preserve"> 发现"同一个项目在两个报表里名字不一样"或"下拉里找不到某个项目/科室"，不要自己造一个名字填上去——这会产生一条无法归属的数据。正确做法：通过科室数据专员向数据管理办公室提交主数据申请，通常在数个工作日内更新到模板下拉中。</w:t>
      </w:r>
    </w:p>
    <w:p>
      <w:pPr>
        <w:pStyle w:val="Heading1"/>
        <w:pageBreakBefore/>
      </w:pPr>
      <w:r>
        <w:t xml:space="preserve">第8章 指标管理</w:t>
      </w:r>
    </w:p>
    <w:p>
      <w:r>
        <w:rPr>
          <w:b/>
          <w:bCs/>
        </w:rPr>
        <w:t xml:space="preserve">【本章导读】</w:t>
      </w:r>
      <w:r>
        <w:t xml:space="preserve"> 指标是数据消费的最终形态，也是"数字对不上"争议的集中地。本所已完成项目管控域 77 个指标的口径整理并形成指标字典，实践证明有效。本章把这套做法制度化：</w:t>
      </w:r>
      <w:r>
        <w:rPr>
          <w:b/>
          <w:bCs/>
        </w:rPr>
        <w:t xml:space="preserve">每个指标一张登记卡、口径冻结有日期、变更走评审、历史别名有归档</w:t>
      </w:r>
      <w:r>
        <w:t xml:space="preserve">，并将覆盖范围逐步扩展到财务及其他域。</w:t>
      </w:r>
    </w:p>
    <w:p>
      <w:pPr>
        <w:pStyle w:val="Heading2"/>
      </w:pPr>
      <w:r>
        <w:t xml:space="preserve">8.1 指标分类与指标登记</w:t>
      </w:r>
    </w:p>
    <w:p>
      <w:r>
        <w:t xml:space="preserve">指标分两级管理：</w:t>
      </w:r>
    </w:p>
    <w:p>
      <w:pPr>
        <w:ind w:left="420" w:hanging="220"/>
        <w:spacing w:before="40" w:after="40"/>
      </w:pPr>
      <w:r>
        <w:t xml:space="preserve">• </w:t>
      </w:r>
      <w:r>
        <w:rPr>
          <w:b/>
          <w:bCs/>
        </w:rPr>
        <w:t xml:space="preserve">原始指标</w:t>
      </w:r>
      <w:r>
        <w:t xml:space="preserve">：直接从明细数据统计得出（如"异常节点数"）；</w:t>
      </w:r>
    </w:p>
    <w:p>
      <w:pPr>
        <w:ind w:left="420" w:hanging="220"/>
        <w:spacing w:before="40" w:after="40"/>
      </w:pPr>
      <w:r>
        <w:t xml:space="preserve">• </w:t>
      </w:r>
      <w:r>
        <w:rPr>
          <w:b/>
          <w:bCs/>
        </w:rPr>
        <w:t xml:space="preserve">派生指标</w:t>
      </w:r>
      <w:r>
        <w:t xml:space="preserve">：由原始指标计算得出（如"节点不正常率 =（不正常待变更 + 超期未完成未变更）÷ 已到时间节点数"）。</w:t>
      </w:r>
    </w:p>
    <w:p>
      <w:r>
        <w:t xml:space="preserve">每个指标在指标字典中登记一张</w:t>
      </w:r>
      <w:r>
        <w:rPr>
          <w:b/>
          <w:bCs/>
        </w:rPr>
        <w:t xml:space="preserve">指标卡</w:t>
      </w:r>
      <w:r>
        <w:t xml:space="preserve">，要素固定为十项：</w:t>
      </w:r>
    </w:p>
    <w:tbl>
      <w:tblPr>
        <w:tblW w:w="5000" w:type="pct"/>
        <w:tblLayout w:type="autofit"/>
        <w:tblLook w:val="04A0" w:firstRow="1" w:lastRow="0" w:firstColumn="1" w:lastColumn="0" w:noHBand="0" w:noVBand="1"/>
      </w:tblPr>
      <w:tr>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登记要素</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说明</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指标编码</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全局唯一（如 pjm_prog_abnormal_rate）</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业务定义</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用业务语言说明该指标衡量什么</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计算公式</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精确的算法表达</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统计范围</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计入/排除规则（如"不含一般节点""受时间筛选控制"）</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单位</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个、%、万元等</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评价方向</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越高越好 / 越低越好</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阈值</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关注线、预警线（无则写明"无"）</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数据来源</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来源填报表/系统表</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更新频率</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如每日、每月</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历史别名</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该指标曾用过的其他叫法（归档，禁止再用）</w:t>
            </w:r>
          </w:p>
        </w:tc>
      </w:tr>
    </w:tbl>
    <w:p/>
    <w:p>
      <w:r>
        <w:t xml:space="preserve">指标卡样例见附录F。看板上每个指标旁提供口径说明入口，展示内容与指标字典完全一致——</w:t>
      </w:r>
      <w:r>
        <w:rPr>
          <w:b/>
          <w:bCs/>
        </w:rPr>
        <w:t xml:space="preserve">看板即字典，字典即口径</w:t>
      </w:r>
      <w:r>
        <w:t xml:space="preserve">。</w:t>
      </w:r>
    </w:p>
    <w:p>
      <w:pPr>
        <w:pStyle w:val="Heading2"/>
      </w:pPr>
      <w:r>
        <w:t xml:space="preserve">8.2 口径管理</w:t>
      </w:r>
    </w:p>
    <w:p>
      <w:pPr>
        <w:ind w:left="420" w:hanging="220"/>
        <w:spacing w:before="40" w:after="40"/>
      </w:pPr>
      <w:r>
        <w:t xml:space="preserve">• </w:t>
      </w:r>
      <w:r>
        <w:rPr>
          <w:b/>
          <w:bCs/>
        </w:rPr>
        <w:t xml:space="preserve">口径冻结</w:t>
      </w:r>
      <w:r>
        <w:t xml:space="preserve">：一批指标定义评审通过后整体"冻结"，标注冻结日期与权威出处；冻结后的口径是该域唯一合法算法，任何报表不得另算。</w:t>
      </w:r>
    </w:p>
    <w:p>
      <w:pPr>
        <w:ind w:left="420" w:hanging="220"/>
        <w:spacing w:before="40" w:after="40"/>
      </w:pPr>
      <w:r>
        <w:t xml:space="preserve">• </w:t>
      </w:r>
      <w:r>
        <w:rPr>
          <w:b/>
          <w:bCs/>
        </w:rPr>
        <w:t xml:space="preserve">唯一真值源</w:t>
      </w:r>
      <w:r>
        <w:t xml:space="preserve">：指标字典是指标定义的唯一权威处；加工模型、看板、共享接口的实现必须与字典一致，模型评审（第6章）以字典为对照依据。</w:t>
      </w:r>
    </w:p>
    <w:p>
      <w:pPr>
        <w:ind w:left="420" w:hanging="220"/>
        <w:spacing w:before="40" w:after="40"/>
      </w:pPr>
      <w:r>
        <w:t xml:space="preserve">• </w:t>
      </w:r>
      <w:r>
        <w:rPr>
          <w:b/>
          <w:bCs/>
        </w:rPr>
        <w:t xml:space="preserve">历史别名归档</w:t>
      </w:r>
      <w:r>
        <w:t xml:space="preserve">：同一指标的旧叫法（如"异常率""不正常率"之于"节点不正常率"）统一登记为历史别名并停用，杜绝一个指标多个名字。</w:t>
      </w:r>
    </w:p>
    <w:p>
      <w:pPr>
        <w:pStyle w:val="Heading2"/>
      </w:pPr>
      <w:r>
        <w:t xml:space="preserve">8.3 指标全生命周期流程</w:t>
      </w:r>
    </w:p>
    <w:tbl>
      <w:tblPr>
        <w:tblW w:w="5000" w:type="pct"/>
        <w:tblLayout w:type="autofit"/>
        <w:tblLook w:val="04A0" w:firstRow="1" w:lastRow="0" w:firstColumn="1" w:lastColumn="0" w:noHBand="0" w:noVBand="1"/>
      </w:tblPr>
      <w:tr>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环节</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规则</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责任角色</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提出</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业务科室或管理层提出新指标需求，附业务目的</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需求方</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定义评审</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数据管理办公室组织：业务定义（业务科室确认）+ 数据可行性（来源与质量是否支撑）双重评审</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数据管理办公室 + 业务归口科室</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发布</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录入指标字典、实现加工模型、上线看板</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数据管理办公室</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变更</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口径变更必须重新评审；变更生效前通知全部消费方并说明新旧口径差异；核心管理指标的变更报领导小组审定</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数据管理办公室</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下线</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停用指标保留字典记录并标注下线日期，看板同步撤下</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数据管理办公室</w:t>
            </w:r>
          </w:p>
        </w:tc>
      </w:tr>
    </w:tbl>
    <w:p/>
    <w:p>
      <w:pPr>
        <w:pStyle w:val="Heading2"/>
      </w:pPr>
      <w:r>
        <w:t xml:space="preserve">8.4 指标体系全景（已冻结口径）</w:t>
      </w:r>
    </w:p>
    <w:p>
      <w:r>
        <w:t xml:space="preserve">项目管控域已完成 </w:t>
      </w:r>
      <w:r>
        <w:rPr>
          <w:b/>
          <w:bCs/>
        </w:rPr>
        <w:t xml:space="preserve">77 个指标</w:t>
      </w:r>
      <w:r>
        <w:t xml:space="preserve">的登记与口径冻结（冻结日期 2026-05-18），按业务主题分布如下：</w:t>
      </w:r>
    </w:p>
    <w:tbl>
      <w:tblPr>
        <w:tblW w:w="5000" w:type="pct"/>
        <w:tblLayout w:type="autofit"/>
        <w:tblLook w:val="04A0" w:firstRow="1" w:lastRow="0" w:firstColumn="1" w:lastColumn="0" w:noHBand="0" w:noVBand="1"/>
      </w:tblPr>
      <w:tr>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主题域</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指标数</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代表指标</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质量</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21</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质量问题总数、归零率、现存率、设计类问题占比、质量健康分</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进度</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17</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节点总数、节点完成百分比、节点不正常率、延期天数、进度健康分</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预算</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13</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预算总额、已执行（=预付+账面+应付）、执行率、剩余率、超支金额</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技术状态</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12</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变更总数、签署率、整改落实率、Ⅰ类变更占比</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风险</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7</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风险总数、高/中/低分布、风险释放率</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综合</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6</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项目综合健康度、风险预警指数</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采购</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1</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长周期物料跟踪</w:t>
            </w:r>
          </w:p>
        </w:tc>
      </w:tr>
    </w:tbl>
    <w:p/>
    <w:p>
      <w:r>
        <w:t xml:space="preserve">指标体系为三层结构：</w:t>
      </w:r>
      <w:r>
        <w:rPr>
          <w:b/>
          <w:bCs/>
        </w:rPr>
        <w:t xml:space="preserve">基础指标</w:t>
      </w:r>
      <w:r>
        <w:t xml:space="preserve">（直接计数/求和，如节点总数）→ </w:t>
      </w:r>
      <w:r>
        <w:rPr>
          <w:b/>
          <w:bCs/>
        </w:rPr>
        <w:t xml:space="preserve">KPI 指标</w:t>
      </w:r>
      <w:r>
        <w:t xml:space="preserve">（带分子分母的比率，如完成百分比）→ </w:t>
      </w:r>
      <w:r>
        <w:rPr>
          <w:b/>
          <w:bCs/>
        </w:rPr>
        <w:t xml:space="preserve">健康分/预警指数</w:t>
      </w:r>
      <w:r>
        <w:t xml:space="preserve">（多指标加权合成，支撑大屏总览）。每层算法均在字典中显式登记，合成类指标同时登记权重。</w:t>
      </w:r>
    </w:p>
    <w:p>
      <w:r>
        <w:t xml:space="preserve">全量 77 项指标的编码、公式、阈值清单见</w:t>
      </w:r>
      <w:r>
        <w:rPr>
          <w:b/>
          <w:bCs/>
        </w:rPr>
        <w:t xml:space="preserve">附录H</w:t>
      </w:r>
      <w:r>
        <w:t xml:space="preserve">；财务域看板指标已完成口径核对，随一期所级指标字典第一版一并发布；二、三期随新域数据接入逐步扩展。</w:t>
      </w:r>
    </w:p>
    <w:p>
      <w:pPr>
        <w:pBdr>
          <w:left w:val="single" w:sz="18" w:color="6B7280"/>
        </w:pBdr>
        <w:shd w:val="clear" w:color="auto" w:fill="F9FAFB"/>
        <w:ind w:left="200"/>
        <w:spacing w:before="120" w:after="120"/>
      </w:pPr>
      <w:r>
        <w:rPr>
          <w:b/>
          <w:bCs/>
        </w:rPr>
        <w:t xml:space="preserve">【业务人员须知】</w:t>
      </w:r>
      <w:r>
        <w:t xml:space="preserve"> 对看板数字有疑问，先点指标旁的口径说明，看清计算公式与统计范围——多数"数字不对"其实是口径理解差异（例如你算的包含一般节点，看板口径不含）。看完仍有异议，通过科室数据专员提交口径异议单，由数据管理办公室组织复核。</w:t>
      </w:r>
    </w:p>
    <w:p>
      <w:pPr>
        <w:pStyle w:val="Heading1"/>
        <w:pageBreakBefore/>
      </w:pPr>
      <w:r>
        <w:t xml:space="preserve">第9章 元数据与血缘管理</w:t>
      </w:r>
    </w:p>
    <w:p>
      <w:r>
        <w:rPr>
          <w:b/>
          <w:bCs/>
        </w:rPr>
        <w:t xml:space="preserve">【本章导读】</w:t>
      </w:r>
      <w:r>
        <w:t xml:space="preserve"> 元数据是"关于数据的数据"——每张表、每个字段是什么含义、归谁管、什么密级、从哪来到哪去。元数据管理的产出是一份</w:t>
      </w:r>
      <w:r>
        <w:rPr>
          <w:b/>
          <w:bCs/>
        </w:rPr>
        <w:t xml:space="preserve">数据资产目录</w:t>
      </w:r>
      <w:r>
        <w:t xml:space="preserve">和一张</w:t>
      </w:r>
      <w:r>
        <w:rPr>
          <w:b/>
          <w:bCs/>
        </w:rPr>
        <w:t xml:space="preserve">端到端血缘图</w:t>
      </w:r>
      <w:r>
        <w:t xml:space="preserve">，它们是数据查询、共享审批、质量定责、安全管控的共同基础设施。</w:t>
      </w:r>
    </w:p>
    <w:p>
      <w:pPr>
        <w:pStyle w:val="Heading2"/>
      </w:pPr>
      <w:r>
        <w:t xml:space="preserve">9.1 元数据范围</w:t>
      </w:r>
    </w:p>
    <w:tbl>
      <w:tblPr>
        <w:tblW w:w="5000" w:type="pct"/>
        <w:tblLayout w:type="autofit"/>
        <w:tblLook w:val="04A0" w:firstRow="1" w:lastRow="0" w:firstColumn="1" w:lastColumn="0" w:noHBand="0" w:noVBand="1"/>
      </w:tblPr>
      <w:tr>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类型</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内容</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维护方式</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技术元数据</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表/字段定义、类型、加工逻辑、调度信息</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随模型上线自动登记</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业务元数据</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业务含义、业务归口科室、填报来源</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科室数据专员配合补录</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管理元数据</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密级、责任人、更新频率、共享限制</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数据管理办公室登记，密级以保密办认定为准</w:t>
            </w:r>
          </w:p>
        </w:tc>
      </w:tr>
    </w:tbl>
    <w:p/>
    <w:p>
      <w:pPr>
        <w:pStyle w:val="Heading2"/>
      </w:pPr>
      <w:r>
        <w:t xml:space="preserve">9.2 数据资产目录</w:t>
      </w:r>
    </w:p>
    <w:p>
      <w:r>
        <w:t xml:space="preserve">数据资产目录按业务域组织（项目、财务、采购、库存、专利、考勤），登记每项数据资产的名称、业务含义、归口科室、密级、更新频率与可共享性。目录的管理要求：</w:t>
      </w:r>
    </w:p>
    <w:p>
      <w:pPr>
        <w:ind w:left="420" w:hanging="220"/>
        <w:spacing w:before="40" w:after="40"/>
      </w:pPr>
      <w:r>
        <w:t xml:space="preserve">• </w:t>
      </w:r>
      <w:r>
        <w:t xml:space="preserve">新模型上线即入目录（与第6章模型登记合并执行），存量资产一期内完成项目、财务两域补录，二期覆盖全部主要业务域；</w:t>
      </w:r>
    </w:p>
    <w:p>
      <w:pPr>
        <w:ind w:left="420" w:hanging="220"/>
        <w:spacing w:before="40" w:after="40"/>
      </w:pPr>
      <w:r>
        <w:t xml:space="preserve">• </w:t>
      </w:r>
      <w:r>
        <w:t xml:space="preserve">目录对所内用户按权限开放查询，是"找数据先查目录"的入口；</w:t>
      </w:r>
    </w:p>
    <w:p>
      <w:pPr>
        <w:ind w:left="420" w:hanging="220"/>
        <w:spacing w:before="40" w:after="40"/>
      </w:pPr>
      <w:r>
        <w:t xml:space="preserve">• </w:t>
      </w:r>
      <w:r>
        <w:t xml:space="preserve">每季度与实际库表核对一次，清理失效条目。</w:t>
      </w:r>
    </w:p>
    <w:p>
      <w:pPr>
        <w:pStyle w:val="Heading2"/>
      </w:pPr>
      <w:r>
        <w:t xml:space="preserve">9.3 血缘管理</w:t>
      </w:r>
    </w:p>
    <w:p>
      <w:r>
        <w:t xml:space="preserve">血缘链路的完整形态：</w:t>
      </w:r>
      <w:r>
        <w:rPr>
          <w:b/>
          <w:bCs/>
        </w:rPr>
        <w:t xml:space="preserve">填报模板字段 → 贴源层表字段 → 结构化层规范字段 → 明细层标准字段与派生口径 → 汇总层 → 应用层指标 → 看板</w:t>
      </w:r>
      <w:r>
        <w:t xml:space="preserve">。支撑血缘的基础是来源追溯字段规范——所有进入结构化层的数据必须携带：来源系统、来源文件、来源工作表、导入批次号、来源行号、导入时间，共六要素。</w:t>
      </w:r>
    </w:p>
    <w:p>
      <w:r>
        <w:t xml:space="preserve">血缘的三个用途：</w:t>
      </w:r>
    </w:p>
    <w:p>
      <w:pPr>
        <w:ind w:left="420" w:hanging="220"/>
        <w:spacing w:before="40" w:after="40"/>
      </w:pPr>
      <w:r>
        <w:t xml:space="preserve">1. </w:t>
      </w:r>
      <w:r>
        <w:rPr>
          <w:b/>
          <w:bCs/>
        </w:rPr>
        <w:t xml:space="preserve">正向影响分析</w:t>
      </w:r>
      <w:r>
        <w:t xml:space="preserve">：某个填报模板列要改，先查血缘看影响哪些下游指标；</w:t>
      </w:r>
    </w:p>
    <w:p>
      <w:pPr>
        <w:ind w:left="420" w:hanging="220"/>
        <w:spacing w:before="40" w:after="40"/>
      </w:pPr>
      <w:r>
        <w:t xml:space="preserve">2. </w:t>
      </w:r>
      <w:r>
        <w:rPr>
          <w:b/>
          <w:bCs/>
        </w:rPr>
        <w:t xml:space="preserve">反向问题定位</w:t>
      </w:r>
      <w:r>
        <w:t xml:space="preserve">：某个看板数字异常，沿血缘回查到具体批次、具体行的原始填报（质量定责的依据，见第10章）；</w:t>
      </w:r>
    </w:p>
    <w:p>
      <w:pPr>
        <w:ind w:left="420" w:hanging="220"/>
        <w:spacing w:before="40" w:after="40"/>
      </w:pPr>
      <w:r>
        <w:t xml:space="preserve">3. </w:t>
      </w:r>
      <w:r>
        <w:rPr>
          <w:b/>
          <w:bCs/>
        </w:rPr>
        <w:t xml:space="preserve">共享风险评估</w:t>
      </w:r>
      <w:r>
        <w:t xml:space="preserve">：对外提供某数据时，查其上游是否含高密级来源（见第13章）。</w:t>
      </w:r>
    </w:p>
    <w:p>
      <w:pPr>
        <w:pStyle w:val="Heading2"/>
      </w:pPr>
      <w:r>
        <w:t xml:space="preserve">9.4 维护责任</w:t>
      </w:r>
    </w:p>
    <w:p>
      <w:r>
        <w:t xml:space="preserve">技术元数据与血缘随模型评审上线自动形成，责任在模型开发人员与数据管理办公室；业务元数据由各科室数据专员在资产入目录时补录；管理元数据中的密级字段以保密办认定结果为准，数据管理办公室负责在平台内落实标识。</w:t>
      </w:r>
    </w:p>
    <w:p>
      <w:pPr>
        <w:pBdr>
          <w:left w:val="single" w:sz="18" w:color="6B7280"/>
        </w:pBdr>
        <w:shd w:val="clear" w:color="auto" w:fill="F9FAFB"/>
        <w:ind w:left="200"/>
        <w:spacing w:before="120" w:after="120"/>
      </w:pPr>
      <w:r>
        <w:rPr>
          <w:b/>
          <w:bCs/>
        </w:rPr>
        <w:t xml:space="preserve">【业务人员须知】</w:t>
      </w:r>
      <w:r>
        <w:t xml:space="preserve"> 需要找某类数据时，先查数据资产目录（入口由数据管理办公室提供），目录会告诉你数据叫什么、归哪个科室、你有没有权限看；不要靠"问熟人拷表格"的方式获取数据——那既不可靠，也绕开了安全管控。</w:t>
      </w:r>
    </w:p>
    <w:p>
      <w:pPr>
        <w:pStyle w:val="Heading1"/>
        <w:pageBreakBefore/>
      </w:pPr>
      <w:r>
        <w:t xml:space="preserve">第10章 数据质量管理</w:t>
      </w:r>
    </w:p>
    <w:p>
      <w:r>
        <w:rPr>
          <w:b/>
          <w:bCs/>
        </w:rPr>
        <w:t xml:space="preserve">【本章导读】</w:t>
      </w:r>
      <w:r>
        <w:t xml:space="preserve"> 数据质量管理是本方案投入最重的治理域，也是业务科室感受最直接的一域。本章建立"规则体系 → 源头控制 → 监控告警 → 整改闭环 → 质量评价"五个环节的完整链条。特别说明：</w:t>
      </w:r>
      <w:r>
        <w:rPr>
          <w:b/>
          <w:bCs/>
        </w:rPr>
        <w:t xml:space="preserve">质量评价采取"通报 → 评价参考 → 考核挂钩"三步走</w:t>
      </w:r>
      <w:r>
        <w:t xml:space="preserve">，一期只通报、不排名、不考核，给各科室充分的适应与改进期——治理的目的是把数据做好，不是把人考倒。</w:t>
      </w:r>
    </w:p>
    <w:p>
      <w:pPr>
        <w:pStyle w:val="Heading2"/>
      </w:pPr>
      <w:r>
        <w:t xml:space="preserve">10.1 质量维度与规则体系</w:t>
      </w:r>
    </w:p>
    <w:p>
      <w:r>
        <w:t xml:space="preserve">数据质量按五个维度定义规则（全量规则清单见附录D）：</w:t>
      </w:r>
    </w:p>
    <w:tbl>
      <w:tblPr>
        <w:tblW w:w="5000" w:type="pct"/>
        <w:tblLayout w:type="autofit"/>
        <w:tblLook w:val="04A0" w:firstRow="1" w:lastRow="0" w:firstColumn="1" w:lastColumn="0" w:noHBand="0" w:noVBand="1"/>
      </w:tblPr>
      <w:tr>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维度</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含义</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规则示例（现行）</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目标阈值</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完整性</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该有的数据/字段是否齐全</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项目映射完整率；必填字段非空率；人员匹配率；科室匹配率</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≥95%（映射/科室）、≥90%（人员）</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准确性</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数据是否符合值域与格式</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枚举字段值域命中率；日期格式合规率；数值可解析率</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100%（枚举）</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唯一性</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业务主键是否重复</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任务/问题/风险/变更标识唯一率</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100%</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及时性</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数据是否按约定周期到位</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月度填报按时导入率；在线同步延迟</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按数据域约定</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一致性</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跨表跨域数据是否勾稽</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同一问题在台账与措施表中的状态一致；（远期）预算与执行勾稽</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逐步建立</w:t>
            </w:r>
          </w:p>
        </w:tc>
      </w:tr>
    </w:tbl>
    <w:p/>
    <w:p>
      <w:r>
        <w:t xml:space="preserve">规则体系的建设节奏：一期以完整性、准确性、唯一性、及时性四类基础规则覆盖项目、财务两域；一致性规则（尤其跨域勾稽）依赖主数据与在线接入成熟度，二期起逐步建立。规则清单由数据管理办公室维护，每半年评审扩充一次。</w:t>
      </w:r>
    </w:p>
    <w:p>
      <w:pPr>
        <w:pStyle w:val="Heading2"/>
      </w:pPr>
      <w:r>
        <w:t xml:space="preserve">10.2 源头质量控制</w:t>
      </w:r>
    </w:p>
    <w:p>
      <w:r>
        <w:t xml:space="preserve">针对"离线填报占主导"的现状，质量控制重心前移到源头：</w:t>
      </w:r>
    </w:p>
    <w:p>
      <w:r>
        <w:rPr>
          <w:b/>
          <w:bCs/>
        </w:rPr>
        <w:t xml:space="preserve">（1）填报模板管控</w:t>
      </w:r>
      <w:r>
        <w:t xml:space="preserve">：所有填报模板由数据管理办公室统一制作发放；下拉字段全部挂接标准值域（第5章）与主数据（第7章）；日期、数值列设置格式约束；必填列显著标识。模板即标准的载体——</w:t>
      </w:r>
      <w:r>
        <w:rPr>
          <w:b/>
          <w:bCs/>
        </w:rPr>
        <w:t xml:space="preserve">模板之外的自制表格不接收</w:t>
      </w:r>
      <w:r>
        <w:t xml:space="preserve">。</w:t>
      </w:r>
    </w:p>
    <w:p>
      <w:r>
        <w:rPr>
          <w:b/>
          <w:bCs/>
        </w:rPr>
        <w:t xml:space="preserve">（2）入湖校验拦截</w:t>
      </w:r>
      <w:r>
        <w:t xml:space="preserve">：文件导入平台时自动执行第一道校验：模板版本核对、必填项检查、日期/数值格式检查、枚举值域检查、项目名称能否匹配主数据。校验不通过的文件整体退回并附</w:t>
      </w:r>
      <w:r>
        <w:rPr>
          <w:b/>
          <w:bCs/>
        </w:rPr>
        <w:t xml:space="preserve">逐行错误清单</w:t>
      </w:r>
      <w:r>
        <w:t xml:space="preserve">（第几行、哪一列、什么错误、正确示例），填报科室修正后重新提交。</w:t>
      </w:r>
    </w:p>
    <w:p>
      <w:r>
        <w:rPr>
          <w:b/>
          <w:bCs/>
        </w:rPr>
        <w:t xml:space="preserve">（3）填报前自查</w:t>
      </w:r>
      <w:r>
        <w:t xml:space="preserve">：科室数据专员在提交前按《数据填报规范》做一次自查（重点：新增项目是否已申请主数据、有无手工输入的枚举值）。</w:t>
      </w:r>
    </w:p>
    <w:p>
      <w:pPr>
        <w:pStyle w:val="Heading2"/>
      </w:pPr>
      <w:r>
        <w:t xml:space="preserve">10.3 质量监控与告警</w:t>
      </w:r>
    </w:p>
    <w:p>
      <w:pPr>
        <w:ind w:left="420" w:hanging="220"/>
        <w:spacing w:before="40" w:after="40"/>
      </w:pPr>
      <w:r>
        <w:t xml:space="preserve">• </w:t>
      </w:r>
      <w:r>
        <w:rPr>
          <w:b/>
          <w:bCs/>
        </w:rPr>
        <w:t xml:space="preserve">规则自动执行</w:t>
      </w:r>
      <w:r>
        <w:t xml:space="preserve">：全部质量规则纳入平台每日/每批次自动执行，无需人工核对；</w:t>
      </w:r>
    </w:p>
    <w:p>
      <w:pPr>
        <w:ind w:left="420" w:hanging="220"/>
        <w:spacing w:before="40" w:after="40"/>
      </w:pPr>
      <w:r>
        <w:t xml:space="preserve">• </w:t>
      </w:r>
      <w:r>
        <w:rPr>
          <w:b/>
          <w:bCs/>
        </w:rPr>
        <w:t xml:space="preserve">问题分级</w:t>
      </w:r>
      <w:r>
        <w:t xml:space="preserve">：阻断级（主键重复、枚举非法等，数据不得进入明细层）、严重级（映射缺失、必填缺失，进入待整改清单）、一般级（格式瑕疵等，累计通报）；</w:t>
      </w:r>
    </w:p>
    <w:p>
      <w:pPr>
        <w:ind w:left="420" w:hanging="220"/>
        <w:spacing w:before="40" w:after="40"/>
      </w:pPr>
      <w:r>
        <w:t xml:space="preserve">• </w:t>
      </w:r>
      <w:r>
        <w:rPr>
          <w:b/>
          <w:bCs/>
        </w:rPr>
        <w:t xml:space="preserve">质量报告</w:t>
      </w:r>
      <w:r>
        <w:t xml:space="preserve">：每月生成分科室、分数据域的质量报告，内容包括各规则得分、环比变化、典型问题案例；报告在质量月度例会上通报。</w:t>
      </w:r>
    </w:p>
    <w:p>
      <w:pPr>
        <w:pStyle w:val="Heading2"/>
      </w:pPr>
      <w:r>
        <w:t xml:space="preserve">10.4 整改闭环</w:t>
      </w:r>
    </w:p>
    <w:p>
      <w:r>
        <w:t xml:space="preserve">质量问题处理遵循"登记 → 定责 → 整改 → 复验 → 销号"闭环：</w:t>
      </w:r>
    </w:p>
    <w:tbl>
      <w:tblPr>
        <w:tblW w:w="5000" w:type="pct"/>
        <w:tblLayout w:type="autofit"/>
        <w:tblLook w:val="04A0" w:firstRow="1" w:lastRow="0" w:firstColumn="1" w:lastColumn="0" w:noHBand="0" w:noVBand="1"/>
      </w:tblPr>
      <w:tr>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步骤</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内容</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责任角色</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时限</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1 登记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监控发现或人工上报的问题录入整改清单，生成整改单</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数据管理办公室</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发现当日</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2 定责</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沿血缘定位问题环节：填报错误→填报科室；加工错误→平台开发；标准缺陷→标准管理流程</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数据管理办公室</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3 个工作日</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3 整改</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责任方修正（重新填报/修复模型/变更标准）</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责任方</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一般 10 个工作日</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4 复验</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重跑质量规则验证问题消除</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数据管理办公室</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整改后 2 个工作日</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5 销号</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整改单关闭归档；超期未整改事项列入月度通报并上报例会协调</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数据管理办公室</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w:t>
            </w:r>
          </w:p>
        </w:tc>
      </w:tr>
    </w:tbl>
    <w:p/>
    <w:p>
      <w:r>
        <w:t xml:space="preserve">整改单模板见附录E。</w:t>
      </w:r>
      <w:r>
        <w:rPr>
          <w:b/>
          <w:bCs/>
        </w:rPr>
        <w:t xml:space="preserve">定责依据血缘而非推断</w:t>
      </w:r>
      <w:r>
        <w:t xml:space="preserve">：每一条问题数据都能定位到具体批次与行号，避免"各执一词"。</w:t>
      </w:r>
    </w:p>
    <w:p>
      <w:pPr>
        <w:pStyle w:val="Heading2"/>
      </w:pPr>
      <w:r>
        <w:t xml:space="preserve">10.5 质量评价三步走</w:t>
      </w:r>
    </w:p>
    <w:p>
      <w:r>
        <w:t xml:space="preserve">质量评价与考核</w:t>
      </w:r>
      <w:r>
        <w:rPr>
          <w:b/>
          <w:bCs/>
        </w:rPr>
        <w:t xml:space="preserve">严格分步实施</w:t>
      </w:r>
      <w:r>
        <w:t xml:space="preserve">，每一步设明确的进入条件，未达条件不得跨步：</w:t>
      </w:r>
    </w:p>
    <w:tbl>
      <w:tblPr>
        <w:tblW w:w="5000" w:type="pct"/>
        <w:tblLayout w:type="autofit"/>
        <w:tblLook w:val="04A0" w:firstRow="1" w:lastRow="0" w:firstColumn="1" w:lastColumn="0" w:noHBand="0" w:noVBand="1"/>
      </w:tblPr>
      <w:tr>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阶段</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做法</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明确不做</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进入下一步的条件</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第一步：通报（一期起）</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月度质量报告向各科室通报本科室情况，例会讲评共性问题</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不排名、不与任何考核挂钩</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规则体系稳定运行 ≥6 个月；模板与培训到位；各科室对规则无重大异议</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第二步：评价参考（二期起）</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质量得分作为科室数据工作评价的</w:t>
            </w:r>
            <w:r>
              <w:rPr>
                <w:b/>
                <w:bCs/>
                <w:sz w:val="21"/>
                <w:szCs w:val="21"/>
              </w:rPr>
              <w:t xml:space="preserve">参考项</w:t>
            </w:r>
            <w:r>
              <w:rPr>
                <w:sz w:val="21"/>
                <w:szCs w:val="21"/>
              </w:rPr>
              <w:t xml:space="preserve">，正向激励为主（表扬进步显著科室）</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不作为负面考核依据</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质量得分连续 ≥2 个季度总体稳定；整改闭环运转正常</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第三步：考核挂钩（三期，须所级发文）</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质量指标正式纳入科室考核体系，权重与规则由领导小组审定、所级发文</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w:t>
            </w:r>
          </w:p>
        </w:tc>
      </w:tr>
    </w:tbl>
    <w:p/>
    <w:p>
      <w:r>
        <w:t xml:space="preserve">这一节奏写入《数据质量管理细则》，</w:t>
      </w:r>
      <w:r>
        <w:rPr>
          <w:b/>
          <w:bCs/>
        </w:rPr>
        <w:t xml:space="preserve">任何部门不得提前将质量数据用于考核</w:t>
      </w:r>
      <w:r>
        <w:t xml:space="preserve">，防止业务科室因惧怕考核而抵触填报或粉饰数据。</w:t>
      </w:r>
    </w:p>
    <w:p>
      <w:pPr>
        <w:pStyle w:val="Heading2"/>
      </w:pPr>
      <w:r>
        <w:t xml:space="preserve">10.6 常见填报错误与正确做法</w:t>
      </w:r>
    </w:p>
    <w:tbl>
      <w:tblPr>
        <w:tblW w:w="5000" w:type="pct"/>
        <w:tblLayout w:type="autofit"/>
        <w:tblLook w:val="04A0" w:firstRow="1" w:lastRow="0" w:firstColumn="1" w:lastColumn="0" w:noHBand="0" w:noVBand="1"/>
      </w:tblPr>
      <w:tr>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常见错误</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后果</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正确做法</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日期填成"2026.5.1""5月1日"</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无法解析，按空值处理</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统一 XXXX-XX-XX 格式（模板已约束）</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枚举手工输入近义词（"高风险"）</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值域校验不通过，文件退回</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只从下拉选择</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空值填"—""无""/"</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占位符污染统计</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没有就留空</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新项目直接手写项目名</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无法挂接主数据，数据成孤儿</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先申请主数据，再填报</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同一问题两个月名称写法不同</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被识别为两条记录，重复统计</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名称保持逐月一致（复制上月表续填）</w:t>
            </w:r>
          </w:p>
        </w:tc>
      </w:tr>
    </w:tbl>
    <w:p/>
    <w:p>
      <w:pPr>
        <w:pBdr>
          <w:left w:val="single" w:sz="18" w:color="6B7280"/>
        </w:pBdr>
        <w:shd w:val="clear" w:color="auto" w:fill="F9FAFB"/>
        <w:ind w:left="200"/>
        <w:spacing w:before="120" w:after="120"/>
      </w:pPr>
      <w:r>
        <w:rPr>
          <w:b/>
          <w:bCs/>
        </w:rPr>
        <w:t xml:space="preserve">【业务人员须知】</w:t>
      </w:r>
      <w:r>
        <w:t xml:space="preserve"> 文件被退回时，错误清单会精确到行和列，按清单逐项修正即可，不需要重做整张表。质量通报在一期内只用于帮助各科室发现问题，不用于考核——发现填报困难或规则不合理，尽管在月度例会上提出。</w:t>
      </w:r>
    </w:p>
    <w:p>
      <w:pPr>
        <w:pStyle w:val="Heading1"/>
        <w:pageBreakBefore/>
      </w:pPr>
      <w:r>
        <w:t xml:space="preserve">第11章 数据安全管理</w:t>
      </w:r>
    </w:p>
    <w:p>
      <w:r>
        <w:rPr>
          <w:b/>
          <w:bCs/>
        </w:rPr>
        <w:t xml:space="preserve">【本章导读】</w:t>
      </w:r>
      <w:r>
        <w:t xml:space="preserve"> 本所保密要求高，数据安全不是数据治理的附属项，而是前置约束。本章确立"</w:t>
      </w:r>
      <w:r>
        <w:rPr>
          <w:b/>
          <w:bCs/>
        </w:rPr>
        <w:t xml:space="preserve">保密制度定规矩、数据平台抓落实</w:t>
      </w:r>
      <w:r>
        <w:t xml:space="preserve">"的总原则，从分级分类、访问控制、传输存储、操作审计四个方面规定数据环节的安全要求。本章与所内保密制度是落实关系而非替代关系：凡保密制度已有规定的，从其规定。</w:t>
      </w:r>
    </w:p>
    <w:p>
      <w:pPr>
        <w:pStyle w:val="Heading2"/>
      </w:pPr>
      <w:r>
        <w:t xml:space="preserve">11.1 数据分级分类</w:t>
      </w:r>
    </w:p>
    <w:p>
      <w:pPr>
        <w:ind w:left="420" w:hanging="220"/>
        <w:spacing w:before="40" w:after="40"/>
      </w:pPr>
      <w:r>
        <w:t xml:space="preserve">• </w:t>
      </w:r>
      <w:r>
        <w:rPr>
          <w:b/>
          <w:bCs/>
        </w:rPr>
        <w:t xml:space="preserve">分类</w:t>
      </w:r>
      <w:r>
        <w:t xml:space="preserve">：按业务域分类（项目、财务、采购、库存、专利、考勤），与数据资产目录的组织方式一致；</w:t>
      </w:r>
    </w:p>
    <w:p>
      <w:pPr>
        <w:ind w:left="420" w:hanging="220"/>
        <w:spacing w:before="40" w:after="40"/>
      </w:pPr>
      <w:r>
        <w:t xml:space="preserve">• </w:t>
      </w:r>
      <w:r>
        <w:rPr>
          <w:b/>
          <w:bCs/>
        </w:rPr>
        <w:t xml:space="preserve">分级</w:t>
      </w:r>
      <w:r>
        <w:t xml:space="preserve">：数据密级依照本所保密制度认定（定密权在保密体系），数据平台负责在数据资产目录中登记每项资产的密级标识，并按密级实施差异化管控；</w:t>
      </w:r>
    </w:p>
    <w:p>
      <w:pPr>
        <w:ind w:left="420" w:hanging="220"/>
        <w:spacing w:before="40" w:after="40"/>
      </w:pPr>
      <w:r>
        <w:t xml:space="preserve">• </w:t>
      </w:r>
      <w:r>
        <w:rPr>
          <w:b/>
          <w:bCs/>
        </w:rPr>
        <w:t xml:space="preserve">就高原则</w:t>
      </w:r>
      <w:r>
        <w:t xml:space="preserve">：加工产物（汇总表、看板、导出文件）的密级不低于其上游来源中的最高密级；血缘（第9章）为该判定提供依据；</w:t>
      </w:r>
    </w:p>
    <w:p>
      <w:pPr>
        <w:ind w:left="420" w:hanging="220"/>
        <w:spacing w:before="40" w:after="40"/>
      </w:pPr>
      <w:r>
        <w:t xml:space="preserve">• </w:t>
      </w:r>
      <w:r>
        <w:rPr>
          <w:b/>
          <w:bCs/>
        </w:rPr>
        <w:t xml:space="preserve">重点对象</w:t>
      </w:r>
      <w:r>
        <w:t xml:space="preserve">：项目进度与技术状态数据、项目预算与经费数据默认按高敏感对待，其访问与共享一律走审批。</w:t>
      </w:r>
    </w:p>
    <w:p>
      <w:pPr>
        <w:pStyle w:val="Heading2"/>
      </w:pPr>
      <w:r>
        <w:t xml:space="preserve">11.2 访问控制</w:t>
      </w:r>
    </w:p>
    <w:p>
      <w:pPr>
        <w:ind w:left="420" w:hanging="220"/>
        <w:spacing w:before="40" w:after="40"/>
      </w:pPr>
      <w:r>
        <w:t xml:space="preserve">• </w:t>
      </w:r>
      <w:r>
        <w:rPr>
          <w:b/>
          <w:bCs/>
        </w:rPr>
        <w:t xml:space="preserve">最小授权</w:t>
      </w:r>
      <w:r>
        <w:t xml:space="preserve">：按"科室 × 角色 × 数据域"建立权限矩阵，默认无权限，按需申请开通；</w:t>
      </w:r>
    </w:p>
    <w:p>
      <w:pPr>
        <w:ind w:left="420" w:hanging="220"/>
        <w:spacing w:before="40" w:after="40"/>
      </w:pPr>
      <w:r>
        <w:t xml:space="preserve">• </w:t>
      </w:r>
      <w:r>
        <w:rPr>
          <w:b/>
          <w:bCs/>
        </w:rPr>
        <w:t xml:space="preserve">分域授权</w:t>
      </w:r>
      <w:r>
        <w:t xml:space="preserve">：业务人员默认仅可访问本科室相关数据域；跨科室数据访问须数据归属科室审批；</w:t>
      </w:r>
    </w:p>
    <w:p>
      <w:pPr>
        <w:ind w:left="420" w:hanging="220"/>
        <w:spacing w:before="40" w:after="40"/>
      </w:pPr>
      <w:r>
        <w:t xml:space="preserve">• </w:t>
      </w:r>
      <w:r>
        <w:rPr>
          <w:b/>
          <w:bCs/>
        </w:rPr>
        <w:t xml:space="preserve">高敏数据单独审批</w:t>
      </w:r>
      <w:r>
        <w:t xml:space="preserve">：财务域明细数据、全所汇总视图等高敏内容，开通权限须数据管理办公室与归属科室双重审批；</w:t>
      </w:r>
    </w:p>
    <w:p>
      <w:pPr>
        <w:ind w:left="420" w:hanging="220"/>
        <w:spacing w:before="40" w:after="40"/>
      </w:pPr>
      <w:r>
        <w:t xml:space="preserve">• </w:t>
      </w:r>
      <w:r>
        <w:rPr>
          <w:b/>
          <w:bCs/>
        </w:rPr>
        <w:t xml:space="preserve">权限复审</w:t>
      </w:r>
      <w:r>
        <w:t xml:space="preserve">：每半年复审一次权限清单，人员调岗、离职即时回收权限（与人事流程联动）。</w:t>
      </w:r>
    </w:p>
    <w:p>
      <w:pPr>
        <w:pStyle w:val="Heading2"/>
      </w:pPr>
      <w:r>
        <w:t xml:space="preserve">11.3 传输与存储安全</w:t>
      </w:r>
    </w:p>
    <w:p>
      <w:pPr>
        <w:ind w:left="420" w:hanging="220"/>
        <w:spacing w:before="40" w:after="40"/>
      </w:pPr>
      <w:r>
        <w:t xml:space="preserve">• </w:t>
      </w:r>
      <w:r>
        <w:t xml:space="preserve">离线文件导入过程加密传输、落地受控，导入完成后的原始文件按保密要求管理，不得散存于个人终端；</w:t>
      </w:r>
    </w:p>
    <w:p>
      <w:pPr>
        <w:ind w:left="420" w:hanging="220"/>
        <w:spacing w:before="40" w:after="40"/>
      </w:pPr>
      <w:r>
        <w:t xml:space="preserve">• </w:t>
      </w:r>
      <w:r>
        <w:t xml:space="preserve">平台存储环境按本所涉密信息系统要求建设与测评，数据库访问全部实名、留痕；</w:t>
      </w:r>
    </w:p>
    <w:p>
      <w:pPr>
        <w:ind w:left="420" w:hanging="220"/>
        <w:spacing w:before="40" w:after="40"/>
      </w:pPr>
      <w:r>
        <w:t xml:space="preserve">• </w:t>
      </w:r>
      <w:r>
        <w:t xml:space="preserve">数据导出默认关闭，确需导出的走共享审批流程（第13章），导出文件带水印与台账登记；</w:t>
      </w:r>
    </w:p>
    <w:p>
      <w:pPr>
        <w:ind w:left="420" w:hanging="220"/>
        <w:spacing w:before="40" w:after="40"/>
      </w:pPr>
      <w:r>
        <w:t xml:space="preserve">• </w:t>
      </w:r>
      <w:r>
        <w:t xml:space="preserve">备份介质与归档库（达梦数据库，见第12章）纳入同等安全管控范围。</w:t>
      </w:r>
    </w:p>
    <w:p>
      <w:pPr>
        <w:pStyle w:val="Heading2"/>
      </w:pPr>
      <w:r>
        <w:t xml:space="preserve">11.4 操作审计</w:t>
      </w:r>
    </w:p>
    <w:p>
      <w:pPr>
        <w:ind w:left="420" w:hanging="220"/>
        <w:spacing w:before="40" w:after="40"/>
      </w:pPr>
      <w:r>
        <w:t xml:space="preserve">• </w:t>
      </w:r>
      <w:r>
        <w:rPr>
          <w:b/>
          <w:bCs/>
        </w:rPr>
        <w:t xml:space="preserve">全量留痕</w:t>
      </w:r>
      <w:r>
        <w:t xml:space="preserve">：谁在什么时间、以什么身份、访问/查询/导出/修改了什么数据，全部记入审计日志；</w:t>
      </w:r>
    </w:p>
    <w:p>
      <w:pPr>
        <w:ind w:left="420" w:hanging="220"/>
        <w:spacing w:before="40" w:after="40"/>
      </w:pPr>
      <w:r>
        <w:t xml:space="preserve">• </w:t>
      </w:r>
      <w:r>
        <w:rPr>
          <w:b/>
          <w:bCs/>
        </w:rPr>
        <w:t xml:space="preserve">日志保护</w:t>
      </w:r>
      <w:r>
        <w:t xml:space="preserve">：审计日志独立存储、防篡改，保留期限按保密要求执行；</w:t>
      </w:r>
    </w:p>
    <w:p>
      <w:pPr>
        <w:ind w:left="420" w:hanging="220"/>
        <w:spacing w:before="40" w:after="40"/>
      </w:pPr>
      <w:r>
        <w:t xml:space="preserve">• </w:t>
      </w:r>
      <w:r>
        <w:rPr>
          <w:b/>
          <w:bCs/>
        </w:rPr>
        <w:t xml:space="preserve">定期审计</w:t>
      </w:r>
      <w:r>
        <w:t xml:space="preserve">：数据管理办公室每季度出具数据操作审计报告，重点核查异常时段访问、批量导出、越权尝试；发现涉密违规线索即时移交保密办处理。</w:t>
      </w:r>
    </w:p>
    <w:p>
      <w:pPr>
        <w:pStyle w:val="Heading2"/>
      </w:pPr>
      <w:r>
        <w:t xml:space="preserve">11.5 与保密制度的衔接</w:t>
      </w:r>
    </w:p>
    <w:p>
      <w:r>
        <w:t xml:space="preserve">本章各项措施是本所保密要求在数据环节的具体落实。执行中的衔接规则：</w:t>
      </w:r>
    </w:p>
    <w:p>
      <w:pPr>
        <w:ind w:left="420" w:hanging="220"/>
        <w:spacing w:before="40" w:after="40"/>
      </w:pPr>
      <w:r>
        <w:t xml:space="preserve">• </w:t>
      </w:r>
      <w:r>
        <w:t xml:space="preserve">数据定密、密级变更、涉密载体管理、失泄密处置，一律按本所保密制度执行；</w:t>
      </w:r>
    </w:p>
    <w:p>
      <w:pPr>
        <w:ind w:left="420" w:hanging="220"/>
        <w:spacing w:before="40" w:after="40"/>
      </w:pPr>
      <w:r>
        <w:t xml:space="preserve">• </w:t>
      </w:r>
      <w:r>
        <w:t xml:space="preserve">《数据安全管理细则》制定与修订须经保密办会签；</w:t>
      </w:r>
    </w:p>
    <w:p>
      <w:pPr>
        <w:ind w:left="420" w:hanging="220"/>
        <w:spacing w:before="40" w:after="40"/>
      </w:pPr>
      <w:r>
        <w:t xml:space="preserve">• </w:t>
      </w:r>
      <w:r>
        <w:t xml:space="preserve">涉密数据的共享（第13章）与销毁（第12章）流程中，保密办为必经审批节点。</w:t>
      </w:r>
    </w:p>
    <w:p>
      <w:pPr>
        <w:pBdr>
          <w:left w:val="single" w:sz="18" w:color="6B7280"/>
        </w:pBdr>
        <w:shd w:val="clear" w:color="auto" w:fill="F9FAFB"/>
        <w:ind w:left="200"/>
        <w:spacing w:before="120" w:after="120"/>
      </w:pPr>
      <w:r>
        <w:rPr>
          <w:b/>
          <w:bCs/>
        </w:rPr>
        <w:t xml:space="preserve">【业务人员须知】</w:t>
      </w:r>
      <w:r>
        <w:t xml:space="preserve"> 不要用拷表格、截图、私发的方式传递平台数据——所有数据获取都应通过平台权限或共享申请进行，平台有完整留痕。发现数据权限超出你的工作需要，主动向数据管理办公室报告调整。</w:t>
      </w:r>
    </w:p>
    <w:p>
      <w:pPr>
        <w:pStyle w:val="Heading1"/>
        <w:pageBreakBefore/>
      </w:pPr>
      <w:r>
        <w:t xml:space="preserve">第12章 数据生命周期管理</w:t>
      </w:r>
    </w:p>
    <w:p>
      <w:r>
        <w:rPr>
          <w:b/>
          <w:bCs/>
        </w:rPr>
        <w:t xml:space="preserve">【本章导读】</w:t>
      </w:r>
      <w:r>
        <w:t xml:space="preserve"> 数据从产生到销毁的全程都要受控，"只进不出"会让平台越来越重，"随意删除"则违反追溯与保密要求。本章规定各层数据的保留周期、向达梦数据库归档的流程，以及数据销毁的审批与监督流程——销毁是生命周期中保密风险最高的环节，从严设计。</w:t>
      </w:r>
    </w:p>
    <w:p>
      <w:pPr>
        <w:pStyle w:val="Heading2"/>
      </w:pPr>
      <w:r>
        <w:t xml:space="preserve">12.1 生命周期阶段</w:t>
      </w:r>
    </w:p>
    <w:p>
      <w:r>
        <w:t xml:space="preserve">数据生命周期分四个阶段：</w:t>
      </w:r>
      <w:r>
        <w:rPr>
          <w:b/>
          <w:bCs/>
        </w:rPr>
        <w:t xml:space="preserve">产生</w:t>
      </w:r>
      <w:r>
        <w:t xml:space="preserve">（填报/在线接入，质量与安全控制见第10、11章）→ </w:t>
      </w:r>
      <w:r>
        <w:rPr>
          <w:b/>
          <w:bCs/>
        </w:rPr>
        <w:t xml:space="preserve">使用</w:t>
      </w:r>
      <w:r>
        <w:t xml:space="preserve">（加工、分析、共享）→ </w:t>
      </w:r>
      <w:r>
        <w:rPr>
          <w:b/>
          <w:bCs/>
        </w:rPr>
        <w:t xml:space="preserve">归档</w:t>
      </w:r>
      <w:r>
        <w:t xml:space="preserve">（超出在线保留期的数据转入冷备归档库）→ </w:t>
      </w:r>
      <w:r>
        <w:rPr>
          <w:b/>
          <w:bCs/>
        </w:rPr>
        <w:t xml:space="preserve">销毁</w:t>
      </w:r>
      <w:r>
        <w:t xml:space="preserve">（超出归档期或按保密要求处置）。</w:t>
      </w:r>
    </w:p>
    <w:p>
      <w:pPr>
        <w:pStyle w:val="Heading2"/>
      </w:pPr>
      <w:r>
        <w:t xml:space="preserve">12.2 保留与归档策略</w:t>
      </w:r>
    </w:p>
    <w:tbl>
      <w:tblPr>
        <w:tblW w:w="5000" w:type="pct"/>
        <w:tblLayout w:type="autofit"/>
        <w:tblLook w:val="04A0" w:firstRow="1" w:lastRow="0" w:firstColumn="1" w:lastColumn="0" w:noHBand="0" w:noVBand="1"/>
      </w:tblPr>
      <w:tr>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数据层</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在线保留</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归档策略</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说明</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贴源层（含导入历史）</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3 年</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每年一次，转入达梦归档库</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原始数据是追溯与重算的依据，归档不销毁</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结构化层</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随贴源层</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不单独归档</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可由贴源层随时重建</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明细层</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长期在线</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暂不归档</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仅保留最新业务状态，数据量可控</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汇总层/应用层</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长期在线</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暂不归档</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管理分析的直接依据</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维度主数据</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长期在线</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不归档</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基础数据</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审计日志</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按保密要求</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按保密要求归档</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独立管理</w:t>
            </w:r>
          </w:p>
        </w:tc>
      </w:tr>
    </w:tbl>
    <w:p/>
    <w:p>
      <w:r>
        <w:rPr>
          <w:b/>
          <w:bCs/>
        </w:rPr>
        <w:t xml:space="preserve">归档目标库为达梦数据库</w:t>
      </w:r>
      <w:r>
        <w:t xml:space="preserve">，作为冷备归档库独立部署，纳入与生产库同等的安全管控（第11章）。归档流程要点：</w:t>
      </w:r>
    </w:p>
    <w:p>
      <w:pPr>
        <w:ind w:left="420" w:hanging="220"/>
        <w:spacing w:before="40" w:after="40"/>
      </w:pPr>
      <w:r>
        <w:t xml:space="preserve">1. </w:t>
      </w:r>
      <w:r>
        <w:t xml:space="preserve">数据管理办公室每年编制归档计划（范围、批次清单），报领导小组备案；</w:t>
      </w:r>
    </w:p>
    <w:p>
      <w:pPr>
        <w:ind w:left="420" w:hanging="220"/>
        <w:spacing w:before="40" w:after="40"/>
      </w:pPr>
      <w:r>
        <w:t xml:space="preserve">2. </w:t>
      </w:r>
      <w:r>
        <w:t xml:space="preserve">归档执行后必须做</w:t>
      </w:r>
      <w:r>
        <w:rPr>
          <w:b/>
          <w:bCs/>
        </w:rPr>
        <w:t xml:space="preserve">恢复验证</w:t>
      </w:r>
      <w:r>
        <w:t xml:space="preserve">——抽样从达梦归档库回读核对，验证通过才允许清理在线数据；</w:t>
      </w:r>
    </w:p>
    <w:p>
      <w:pPr>
        <w:ind w:left="420" w:hanging="220"/>
        <w:spacing w:before="40" w:after="40"/>
      </w:pPr>
      <w:r>
        <w:t xml:space="preserve">3. </w:t>
      </w:r>
      <w:r>
        <w:t xml:space="preserve">归档台账登记每批次的范围、时间、数据量、验证结论、操作人；</w:t>
      </w:r>
    </w:p>
    <w:p>
      <w:pPr>
        <w:ind w:left="420" w:hanging="220"/>
        <w:spacing w:before="40" w:after="40"/>
      </w:pPr>
      <w:r>
        <w:t xml:space="preserve">4. </w:t>
      </w:r>
      <w:r>
        <w:t xml:space="preserve">归档数据的查询按需申请，与在线数据同等权限管控。</w:t>
      </w:r>
    </w:p>
    <w:p>
      <w:pPr>
        <w:pStyle w:val="Heading2"/>
      </w:pPr>
      <w:r>
        <w:t xml:space="preserve">12.3 数据销毁流程</w:t>
      </w:r>
    </w:p>
    <w:p>
      <w:r>
        <w:t xml:space="preserve">销毁是不可逆操作，涉密环境下从严管理。适用情形：超出保留与归档期限的数据、按保密要求需要处置的数据、经批准下线系统的遗留数据。</w:t>
      </w:r>
    </w:p>
    <w:tbl>
      <w:tblPr>
        <w:tblW w:w="5000" w:type="pct"/>
        <w:tblLayout w:type="autofit"/>
        <w:tblLook w:val="04A0" w:firstRow="1" w:lastRow="0" w:firstColumn="1" w:lastColumn="0" w:noHBand="0" w:noVBand="1"/>
      </w:tblPr>
      <w:tr>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步骤</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内容</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责任角色</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1 申请</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编制销毁申请：数据清单、所属域、密级、时间范围、销毁理由、销毁方式</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数据管理办公室（或数据归属科室发起）</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2 审核</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核查清单准确性、确认无在用下游依赖（依据血缘）、确认已过保留期</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数据管理办公室</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3 审批</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保密办审批（密级与处置方式合规性）→ 领导小组审批</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保密办、领导小组</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4 执行</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按批准范围执行销毁；</w:t>
            </w:r>
            <w:r>
              <w:rPr>
                <w:b/>
                <w:bCs/>
                <w:sz w:val="21"/>
                <w:szCs w:val="21"/>
              </w:rPr>
              <w:t xml:space="preserve">同步处置在线库、达梦归档库、备份介质三处副本</w:t>
            </w:r>
            <w:r>
              <w:rPr>
                <w:sz w:val="21"/>
                <w:szCs w:val="21"/>
              </w:rPr>
              <w:t xml:space="preserve">，不得遗留</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平台运维</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5 监销</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双人监销：操作人之外由数据管理办公室、保密办各指定一人现场监督并签字</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监销人</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6 登记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销毁台账登记：清单、批准文号、执行时间、方式、操作人、监销人；台账长期保存</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数据管理办公室</w:t>
            </w:r>
          </w:p>
        </w:tc>
      </w:tr>
    </w:tbl>
    <w:p/>
    <w:p>
      <w:r>
        <w:t xml:space="preserve">销毁审批单与销毁台账模板见附录E。</w:t>
      </w:r>
      <w:r>
        <w:rPr>
          <w:b/>
          <w:bCs/>
        </w:rPr>
        <w:t xml:space="preserve">任何未经审批的数据删除按违规处理</w:t>
      </w:r>
      <w:r>
        <w:t xml:space="preserve">；日常加工中的表重建、批次重算不属于销毁，但须在模型变更流程中留痕（第6章）。</w:t>
      </w:r>
    </w:p>
    <w:p>
      <w:pPr>
        <w:pBdr>
          <w:left w:val="single" w:sz="18" w:color="6B7280"/>
        </w:pBdr>
        <w:shd w:val="clear" w:color="auto" w:fill="F9FAFB"/>
        <w:ind w:left="200"/>
        <w:spacing w:before="120" w:after="120"/>
      </w:pPr>
      <w:r>
        <w:rPr>
          <w:b/>
          <w:bCs/>
        </w:rPr>
        <w:t xml:space="preserve">【业务人员须知】</w:t>
      </w:r>
      <w:r>
        <w:t xml:space="preserve"> 业务科室不需要也不允许自行删除平台数据。如认为某批数据已无保留必要（如试填的测试数据），向数据管理办公室提出，由统一流程处置。</w:t>
      </w:r>
    </w:p>
    <w:p>
      <w:pPr>
        <w:pStyle w:val="Heading1"/>
        <w:pageBreakBefore/>
      </w:pPr>
      <w:r>
        <w:t xml:space="preserve">第13章 数据共享与服务管理</w:t>
      </w:r>
    </w:p>
    <w:p>
      <w:r>
        <w:rPr>
          <w:b/>
          <w:bCs/>
        </w:rPr>
        <w:t xml:space="preserve">【本章导读】</w:t>
      </w:r>
      <w:r>
        <w:t xml:space="preserve"> 数据的价值在使用，但共享的每个出口都是安全与口径风险点。本章确立共享三原则（最小必要、按需审批、全程留痕），规定看板授权、数据接口、离线提取三种共享方式的管理要求，并特别规定：</w:t>
      </w:r>
      <w:r>
        <w:rPr>
          <w:b/>
          <w:bCs/>
        </w:rPr>
        <w:t xml:space="preserve">一切共享出口必须消费应用层统一口径</w:t>
      </w:r>
      <w:r>
        <w:t xml:space="preserve">——共享不仅要"给得安全"，还要"给得对"。</w:t>
      </w:r>
    </w:p>
    <w:p>
      <w:pPr>
        <w:pStyle w:val="Heading2"/>
      </w:pPr>
      <w:r>
        <w:t xml:space="preserve">13.1 共享原则</w:t>
      </w:r>
    </w:p>
    <w:p>
      <w:pPr>
        <w:ind w:left="420" w:hanging="220"/>
        <w:spacing w:before="40" w:after="40"/>
      </w:pPr>
      <w:r>
        <w:t xml:space="preserve">1. </w:t>
      </w:r>
      <w:r>
        <w:rPr>
          <w:b/>
          <w:bCs/>
        </w:rPr>
        <w:t xml:space="preserve">最小必要</w:t>
      </w:r>
      <w:r>
        <w:t xml:space="preserve">：只提供完成用途所必需的数据范围与粒度，能给汇总不给明细，能给指标不给底表；</w:t>
      </w:r>
    </w:p>
    <w:p>
      <w:pPr>
        <w:ind w:left="420" w:hanging="220"/>
        <w:spacing w:before="40" w:after="40"/>
      </w:pPr>
      <w:r>
        <w:t xml:space="preserve">2. </w:t>
      </w:r>
      <w:r>
        <w:rPr>
          <w:b/>
          <w:bCs/>
        </w:rPr>
        <w:t xml:space="preserve">按需审批</w:t>
      </w:r>
      <w:r>
        <w:t xml:space="preserve">：共享按次或按期审批，不存在"永久白名单"；</w:t>
      </w:r>
    </w:p>
    <w:p>
      <w:pPr>
        <w:ind w:left="420" w:hanging="220"/>
        <w:spacing w:before="40" w:after="40"/>
      </w:pPr>
      <w:r>
        <w:t xml:space="preserve">3. </w:t>
      </w:r>
      <w:r>
        <w:rPr>
          <w:b/>
          <w:bCs/>
        </w:rPr>
        <w:t xml:space="preserve">全程留痕</w:t>
      </w:r>
      <w:r>
        <w:t xml:space="preserve">：谁申请、谁批准、给了什么、何时给的，全程可查。</w:t>
      </w:r>
    </w:p>
    <w:p>
      <w:pPr>
        <w:pStyle w:val="Heading2"/>
      </w:pPr>
      <w:r>
        <w:t xml:space="preserve">13.2 三种共享方式</w:t>
      </w:r>
    </w:p>
    <w:tbl>
      <w:tblPr>
        <w:tblW w:w="5000" w:type="pct"/>
        <w:tblLayout w:type="autofit"/>
        <w:tblLook w:val="04A0" w:firstRow="1" w:lastRow="0" w:firstColumn="1" w:lastColumn="0" w:noHBand="0" w:noVBand="1"/>
      </w:tblPr>
      <w:tr>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方式</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适用场景</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管理要求</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看板授权</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所内人员日常查看管理看板</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按权限矩阵（第11章）开通；默认方式，优先引导</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数据接口</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所内其他系统按约定获取数据</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接口须登记（用途、数据范围、调用方、频率）；身份认证 + 调用留痕；只暴露应用层成果</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离线提取</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确需一次性数据文件的场景</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从严审批（申请单写明用途与去向）；文件带水印；提取台账登记；用毕按保密要求处置</w:t>
            </w:r>
          </w:p>
        </w:tc>
      </w:tr>
    </w:tbl>
    <w:p/>
    <w:p>
      <w:r>
        <w:rPr>
          <w:b/>
          <w:bCs/>
        </w:rPr>
        <w:t xml:space="preserve">审批链</w:t>
      </w:r>
      <w:r>
        <w:t xml:space="preserve">：所内共享由数据归属科室 + 数据管理办公室审批；涉及高敏数据或跨密级的加签保密办；向所外提供数据的，一律加保密审查，按对外提供信息的所内规定执行，并报领导小组审批。</w:t>
      </w:r>
    </w:p>
    <w:p>
      <w:pPr>
        <w:pStyle w:val="Heading2"/>
      </w:pPr>
      <w:r>
        <w:t xml:space="preserve">13.3 服务口径一致性</w:t>
      </w:r>
    </w:p>
    <w:p>
      <w:pPr>
        <w:ind w:left="420" w:hanging="220"/>
        <w:spacing w:before="40" w:after="40"/>
      </w:pPr>
      <w:r>
        <w:t xml:space="preserve">• </w:t>
      </w:r>
      <w:r>
        <w:t xml:space="preserve">所有共享出口（看板、接口、提取）只允许消费应用层与汇总层的统一口径成果，</w:t>
      </w:r>
      <w:r>
        <w:rPr>
          <w:b/>
          <w:bCs/>
        </w:rPr>
        <w:t xml:space="preserve">禁止绕过口径层直接从贴源层、结构化层取数</w:t>
      </w:r>
      <w:r>
        <w:t xml:space="preserve">——这是第6章依赖红线在共享环节的延伸；</w:t>
      </w:r>
    </w:p>
    <w:p>
      <w:pPr>
        <w:ind w:left="420" w:hanging="220"/>
        <w:spacing w:before="40" w:after="40"/>
      </w:pPr>
      <w:r>
        <w:t xml:space="preserve">• </w:t>
      </w:r>
      <w:r>
        <w:t xml:space="preserve">接口输出的指标字段必须与指标字典（第8章）一致，接口文档直接引用指标编码；</w:t>
      </w:r>
    </w:p>
    <w:p>
      <w:pPr>
        <w:ind w:left="420" w:hanging="220"/>
        <w:spacing w:before="40" w:after="40"/>
      </w:pPr>
      <w:r>
        <w:t xml:space="preserve">• </w:t>
      </w:r>
      <w:r>
        <w:t xml:space="preserve">消费方发现的数据疑问统一走口径异议流程（第8章），不允许消费方"自行修正"后再分发。</w:t>
      </w:r>
    </w:p>
    <w:p>
      <w:pPr>
        <w:pStyle w:val="Heading2"/>
      </w:pPr>
      <w:r>
        <w:t xml:space="preserve">13.4 共享的持续管理</w:t>
      </w:r>
    </w:p>
    <w:p>
      <w:pPr>
        <w:ind w:left="420" w:hanging="220"/>
        <w:spacing w:before="40" w:after="40"/>
      </w:pPr>
      <w:r>
        <w:t xml:space="preserve">• </w:t>
      </w:r>
      <w:r>
        <w:t xml:space="preserve">数据接口每半年复核一次：用途是否仍然成立、调用方是否变化、数据范围是否仍为最小必要，不再需要的即时停用；</w:t>
      </w:r>
    </w:p>
    <w:p>
      <w:pPr>
        <w:ind w:left="420" w:hanging="220"/>
        <w:spacing w:before="40" w:after="40"/>
      </w:pPr>
      <w:r>
        <w:t xml:space="preserve">• </w:t>
      </w:r>
      <w:r>
        <w:t xml:space="preserve">离线提取台账每季度汇总分析，提取频繁的场景应评估转为看板或接口方式；</w:t>
      </w:r>
    </w:p>
    <w:p>
      <w:pPr>
        <w:ind w:left="420" w:hanging="220"/>
        <w:spacing w:before="40" w:after="40"/>
      </w:pPr>
      <w:r>
        <w:t xml:space="preserve">• </w:t>
      </w:r>
      <w:r>
        <w:t xml:space="preserve">共享数据的密级标识随数据走：接收方获得的数据继承原密级管理要求，在申请单中书面确认。</w:t>
      </w:r>
    </w:p>
    <w:p>
      <w:pPr>
        <w:pBdr>
          <w:left w:val="single" w:sz="18" w:color="6B7280"/>
        </w:pBdr>
        <w:shd w:val="clear" w:color="auto" w:fill="F9FAFB"/>
        <w:ind w:left="200"/>
        <w:spacing w:before="120" w:after="120"/>
      </w:pPr>
      <w:r>
        <w:rPr>
          <w:b/>
          <w:bCs/>
        </w:rPr>
        <w:t xml:space="preserve">【业务人员须知】</w:t>
      </w:r>
      <w:r>
        <w:t xml:space="preserve"> 需要数据时的顺序：先查数据资产目录确认数据存在 → 优先申请看板权限 → 确需文件的提交离线提取申请（写清用途）。拿到的数据仅限申请用途使用，不得二次转发。</w:t>
      </w:r>
    </w:p>
    <w:p>
      <w:pPr>
        <w:pStyle w:val="Heading1"/>
        <w:pageBreakBefore/>
      </w:pPr>
      <w:r>
        <w:t xml:space="preserve">第三篇 实施篇</w:t>
      </w:r>
    </w:p>
    <w:p>
      <w:pPr>
        <w:pStyle w:val="Heading1"/>
        <w:pageBreakBefore/>
      </w:pPr>
      <w:r>
        <w:t xml:space="preserve">第14章 系统接入与数据流规划</w:t>
      </w:r>
    </w:p>
    <w:p>
      <w:r>
        <w:rPr>
          <w:b/>
          <w:bCs/>
        </w:rPr>
        <w:t xml:space="preserve">【本章导读】</w:t>
      </w:r>
      <w:r>
        <w:t xml:space="preserve"> 未来三年，本所数据来源将从"离线填报为主"转向"在线系统为主"：PLM、QMS 将陆续建设，ERP 的项目财务与预算能力将深化。本章回答两个问题：</w:t>
      </w:r>
      <w:r>
        <w:rPr>
          <w:b/>
          <w:bCs/>
        </w:rPr>
        <w:t xml:space="preserve">新系统按什么次序接、接入前要做什么准备</w:t>
      </w:r>
      <w:r>
        <w:t xml:space="preserve">，以及</w:t>
      </w:r>
      <w:r>
        <w:rPr>
          <w:b/>
          <w:bCs/>
        </w:rPr>
        <w:t xml:space="preserve">项目、财务两域数据流如何规划</w:t>
      </w:r>
      <w:r>
        <w:t xml:space="preserve">。本章末给出项目-财务贯通的远期蓝图——它是方向，不是近期承诺。</w:t>
      </w:r>
    </w:p>
    <w:p>
      <w:pPr>
        <w:pStyle w:val="Heading2"/>
      </w:pPr>
      <w:r>
        <w:t xml:space="preserve">14.1 接入现状与目标</w:t>
      </w:r>
    </w:p>
    <w:tbl>
      <w:tblPr>
        <w:tblW w:w="5000" w:type="pct"/>
        <w:tblLayout w:type="autofit"/>
        <w:tblLook w:val="04A0" w:firstRow="1" w:lastRow="0" w:firstColumn="1" w:lastColumn="0" w:noHBand="0" w:noVBand="1"/>
      </w:tblPr>
      <w:tr>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数据来源</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现状</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目标</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项目管控数据（进度/质量/风险/技术状态）</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离线模板月度/周度填报</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中期维持规范化填报；远期视 PLM/项目管理系统建设情况在线化</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财务数据（预算/经费/余额）</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离线模板月度/季度填报</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随 ERP 项目财务、预算模块建设逐步在线接入</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采购、库存</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ERP 在线同步（已实现）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深化：补齐与项目主数据的编码对齐</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设计/技术状态源头数据</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无系统</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PLM 建成后接入</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质量业务数据</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离线填报</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QMS 建成后接入</w:t>
            </w:r>
          </w:p>
        </w:tc>
      </w:tr>
    </w:tbl>
    <w:p/>
    <w:p>
      <w:pPr>
        <w:pStyle w:val="Heading2"/>
      </w:pPr>
      <w:r>
        <w:t xml:space="preserve">14.2 接入次序与判定标准</w:t>
      </w:r>
    </w:p>
    <w:p>
      <w:r>
        <w:t xml:space="preserve">新系统接入不按"谁建成谁先接"，而按三维评估排序：</w:t>
      </w:r>
    </w:p>
    <w:tbl>
      <w:tblPr>
        <w:tblW w:w="5000" w:type="pct"/>
        <w:tblLayout w:type="autofit"/>
        <w:tblLook w:val="04A0" w:firstRow="1" w:lastRow="0" w:firstColumn="1" w:lastColumn="0" w:noHBand="0" w:noVBand="1"/>
      </w:tblPr>
      <w:tr>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评估维度</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问题</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数据价值</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该数据对项目、财务两个核心域的管理决策贡献多大？</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系统成熟度</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源系统数据是否稳定、编码是否规范、接口是否可用？</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标准就绪度</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我方标准、主数据映射、质量规则是否已准备好承接？</w:t>
            </w:r>
          </w:p>
        </w:tc>
      </w:tr>
    </w:tbl>
    <w:p/>
    <w:p>
      <w:r>
        <w:t xml:space="preserve">据此，当前建议的接入次序：</w:t>
      </w:r>
      <w:r>
        <w:rPr>
          <w:b/>
          <w:bCs/>
        </w:rPr>
        <w:t xml:space="preserve">① ERP 深化</w:t>
      </w:r>
      <w:r>
        <w:t xml:space="preserve">（采购库存已有基础，项目财务/预算价值最高）→ </w:t>
      </w:r>
      <w:r>
        <w:rPr>
          <w:b/>
          <w:bCs/>
        </w:rPr>
        <w:t xml:space="preserve">② QMS</w:t>
      </w:r>
      <w:r>
        <w:t xml:space="preserve">（质量数据与项目管控强关联）→ </w:t>
      </w:r>
      <w:r>
        <w:rPr>
          <w:b/>
          <w:bCs/>
        </w:rPr>
        <w:t xml:space="preserve">③ PLM</w:t>
      </w:r>
      <w:r>
        <w:t xml:space="preserve">（按其建设进度）。次序随年度评估滚动调整。</w:t>
      </w:r>
    </w:p>
    <w:p>
      <w:pPr>
        <w:pStyle w:val="Heading2"/>
      </w:pPr>
      <w:r>
        <w:t xml:space="preserve">14.3 接入前置件（强制）</w:t>
      </w:r>
    </w:p>
    <w:p>
      <w:r>
        <w:t xml:space="preserve">任何新系统接入前，必须完成三项前置工作并经数据管理办公室确认，</w:t>
      </w:r>
      <w:r>
        <w:rPr>
          <w:b/>
          <w:bCs/>
        </w:rPr>
        <w:t xml:space="preserve">未完成不接</w:t>
      </w:r>
      <w:r>
        <w:t xml:space="preserve">——这是防止"先接入、后返工"的硬闸门：</w:t>
      </w:r>
    </w:p>
    <w:p>
      <w:pPr>
        <w:ind w:left="420" w:hanging="220"/>
        <w:spacing w:before="40" w:after="40"/>
      </w:pPr>
      <w:r>
        <w:t xml:space="preserve">1. </w:t>
      </w:r>
      <w:r>
        <w:rPr>
          <w:b/>
          <w:bCs/>
        </w:rPr>
        <w:t xml:space="preserve">标准对齐</w:t>
      </w:r>
      <w:r>
        <w:t xml:space="preserve">：源系统字段与本所数据标准的映射对照表（含枚举值对照）；</w:t>
      </w:r>
    </w:p>
    <w:p>
      <w:pPr>
        <w:ind w:left="420" w:hanging="220"/>
        <w:spacing w:before="40" w:after="40"/>
      </w:pPr>
      <w:r>
        <w:t xml:space="preserve">2. </w:t>
      </w:r>
      <w:r>
        <w:rPr>
          <w:b/>
          <w:bCs/>
        </w:rPr>
        <w:t xml:space="preserve">主数据映射初始化</w:t>
      </w:r>
      <w:r>
        <w:t xml:space="preserve">：源系统的项目、物料、人员等标识与平台统一标识完成初始映射并经归口科室确认（第7章）；</w:t>
      </w:r>
    </w:p>
    <w:p>
      <w:pPr>
        <w:ind w:left="420" w:hanging="220"/>
        <w:spacing w:before="40" w:after="40"/>
      </w:pPr>
      <w:r>
        <w:t xml:space="preserve">3. </w:t>
      </w:r>
      <w:r>
        <w:rPr>
          <w:b/>
          <w:bCs/>
        </w:rPr>
        <w:t xml:space="preserve">质量规则定义</w:t>
      </w:r>
      <w:r>
        <w:t xml:space="preserve">：该数据源的完整性、准确性、及时性规则清单入库，接入即监控。</w:t>
      </w:r>
    </w:p>
    <w:p>
      <w:r>
        <w:t xml:space="preserve">接入后按第6章模型流程建立分层加工链路，按第9章要求入数据资产目录。</w:t>
      </w:r>
    </w:p>
    <w:p>
      <w:pPr>
        <w:pStyle w:val="Heading2"/>
      </w:pPr>
      <w:r>
        <w:t xml:space="preserve">14.4 项目、财务两域数据流规划</w:t>
      </w:r>
    </w:p>
    <w:p>
      <w:r>
        <w:rPr>
          <w:b/>
          <w:bCs/>
        </w:rPr>
        <w:t xml:space="preserve">项目域数据流</w:t>
      </w:r>
      <w:r>
        <w:t xml:space="preserve">（现状为主，持续规范）：</w:t>
      </w:r>
    </w:p>
    <w:p>
      <w:pPr>
        <w:pBdr>
          <w:top w:val="single" w:sz="4" w:color="D1D5DB"/>
          <w:left w:val="single" w:sz="4" w:color="D1D5DB"/>
          <w:bottom w:val="single" w:sz="4" w:color="D1D5DB"/>
          <w:right w:val="single" w:sz="4" w:color="D1D5DB"/>
        </w:pBdr>
        <w:shd w:val="clear" w:color="auto" w:fill="F3F4F6"/>
        <w:spacing w:before="0" w:after="0"/>
        <w:ind w:left="200" w:right="200"/>
      </w:pPr>
      <w:r>
        <w:rPr>
          <w:rFonts w:ascii="Courier New" w:hAnsi="Courier New" w:eastAsia="SimSun"/>
          <w:sz w:val="17"/>
          <w:szCs w:val="17"/>
        </w:rPr>
        <w:t xml:space="preserve">各科室填报（进度/质量/风险/技术状态模板）</w:t>
      </w:r>
    </w:p>
    <w:p>
      <w:pPr>
        <w:pBdr>
          <w:top w:val="single" w:sz="4" w:color="D1D5DB"/>
          <w:left w:val="single" w:sz="4" w:color="D1D5DB"/>
          <w:bottom w:val="single" w:sz="4" w:color="D1D5DB"/>
          <w:right w:val="single" w:sz="4" w:color="D1D5DB"/>
        </w:pBdr>
        <w:shd w:val="clear" w:color="auto" w:fill="F3F4F6"/>
        <w:spacing w:before="0" w:after="0"/>
        <w:ind w:left="200" w:right="200"/>
      </w:pPr>
      <w:r>
        <w:rPr>
          <w:rFonts w:ascii="Courier New" w:hAnsi="Courier New" w:eastAsia="SimSun"/>
          <w:sz w:val="17"/>
          <w:szCs w:val="17"/>
        </w:rPr>
        <w:t xml:space="preserve">  → 入湖校验（第10章） → 贴源层（留痕）→ 结构化层（收敛）</w:t>
      </w:r>
    </w:p>
    <w:p>
      <w:pPr>
        <w:pBdr>
          <w:top w:val="single" w:sz="4" w:color="D1D5DB"/>
          <w:left w:val="single" w:sz="4" w:color="D1D5DB"/>
          <w:bottom w:val="single" w:sz="4" w:color="D1D5DB"/>
          <w:right w:val="single" w:sz="4" w:color="D1D5DB"/>
        </w:pBdr>
        <w:shd w:val="clear" w:color="auto" w:fill="F3F4F6"/>
        <w:spacing w:before="0" w:after="0"/>
        <w:ind w:left="200" w:right="200"/>
      </w:pPr>
      <w:r>
        <w:rPr>
          <w:rFonts w:ascii="Courier New" w:hAnsi="Courier New" w:eastAsia="SimSun"/>
          <w:sz w:val="17"/>
          <w:szCs w:val="17"/>
        </w:rPr>
        <w:t xml:space="preserve">  → 明细层（别名归一、口径落地）→ 月度汇总 → 项目管控驾驶舱（77 项指标）</w:t>
      </w:r>
    </w:p>
    <w:p>
      <w:r>
        <w:t xml:space="preserve">关键规划点：四类台账（进度、质量、风险、技术状态）通过项目统一标识与科室、人员主数据互联，支撑"一个项目一屏看全"的项目全景视图；质量问题、风险、技术状态变更产生的跟进计划与进度节点建立关联，形成管理闭环视图。</w:t>
      </w:r>
    </w:p>
    <w:p>
      <w:r>
        <w:rPr>
          <w:b/>
          <w:bCs/>
        </w:rPr>
        <w:t xml:space="preserve">财务域数据流</w:t>
      </w:r>
      <w:r>
        <w:t xml:space="preserve">（近期目标：</w:t>
      </w:r>
      <w:r>
        <w:rPr>
          <w:b/>
          <w:bCs/>
        </w:rPr>
        <w:t xml:space="preserve">财务数据按项目维度可查可算</w:t>
      </w:r>
      <w:r>
        <w:t xml:space="preserve">）：</w:t>
      </w:r>
    </w:p>
    <w:p>
      <w:pPr>
        <w:pBdr>
          <w:top w:val="single" w:sz="4" w:color="D1D5DB"/>
          <w:left w:val="single" w:sz="4" w:color="D1D5DB"/>
          <w:bottom w:val="single" w:sz="4" w:color="D1D5DB"/>
          <w:right w:val="single" w:sz="4" w:color="D1D5DB"/>
        </w:pBdr>
        <w:shd w:val="clear" w:color="auto" w:fill="F3F4F6"/>
        <w:spacing w:before="0" w:after="0"/>
        <w:ind w:left="200" w:right="200"/>
      </w:pPr>
      <w:r>
        <w:rPr>
          <w:rFonts w:ascii="Courier New" w:hAnsi="Courier New" w:eastAsia="SimSun"/>
          <w:sz w:val="17"/>
          <w:szCs w:val="17"/>
        </w:rPr>
        <w:t xml:space="preserve">财务填报（自有资金/项目经费/辅助余额/预算三本账）</w:t>
      </w:r>
    </w:p>
    <w:p>
      <w:pPr>
        <w:pBdr>
          <w:top w:val="single" w:sz="4" w:color="D1D5DB"/>
          <w:left w:val="single" w:sz="4" w:color="D1D5DB"/>
          <w:bottom w:val="single" w:sz="4" w:color="D1D5DB"/>
          <w:right w:val="single" w:sz="4" w:color="D1D5DB"/>
        </w:pBdr>
        <w:shd w:val="clear" w:color="auto" w:fill="F3F4F6"/>
        <w:spacing w:before="0" w:after="0"/>
        <w:ind w:left="200" w:right="200"/>
      </w:pPr>
      <w:r>
        <w:rPr>
          <w:rFonts w:ascii="Courier New" w:hAnsi="Courier New" w:eastAsia="SimSun"/>
          <w:sz w:val="17"/>
          <w:szCs w:val="17"/>
        </w:rPr>
        <w:t xml:space="preserve">  → 入湖校验 → 分层加工</w:t>
      </w:r>
    </w:p>
    <w:p>
      <w:pPr>
        <w:pBdr>
          <w:top w:val="single" w:sz="4" w:color="D1D5DB"/>
          <w:left w:val="single" w:sz="4" w:color="D1D5DB"/>
          <w:bottom w:val="single" w:sz="4" w:color="D1D5DB"/>
          <w:right w:val="single" w:sz="4" w:color="D1D5DB"/>
        </w:pBdr>
        <w:shd w:val="clear" w:color="auto" w:fill="F3F4F6"/>
        <w:spacing w:before="0" w:after="0"/>
        <w:ind w:left="200" w:right="200"/>
      </w:pPr>
      <w:r>
        <w:rPr>
          <w:rFonts w:ascii="Courier New" w:hAnsi="Courier New" w:eastAsia="SimSun"/>
          <w:sz w:val="17"/>
          <w:szCs w:val="17"/>
        </w:rPr>
        <w:t xml:space="preserve">  → 按"项目 + 科室 + 期间"三个维度组织的财务汇总</w:t>
      </w:r>
    </w:p>
    <w:p>
      <w:pPr>
        <w:pBdr>
          <w:top w:val="single" w:sz="4" w:color="D1D5DB"/>
          <w:left w:val="single" w:sz="4" w:color="D1D5DB"/>
          <w:bottom w:val="single" w:sz="4" w:color="D1D5DB"/>
          <w:right w:val="single" w:sz="4" w:color="D1D5DB"/>
        </w:pBdr>
        <w:shd w:val="clear" w:color="auto" w:fill="F3F4F6"/>
        <w:spacing w:before="0" w:after="0"/>
        <w:ind w:left="200" w:right="200"/>
      </w:pPr>
      <w:r>
        <w:rPr>
          <w:rFonts w:ascii="Courier New" w:hAnsi="Courier New" w:eastAsia="SimSun"/>
          <w:sz w:val="17"/>
          <w:szCs w:val="17"/>
        </w:rPr>
        <w:t xml:space="preserve">  → 经费执行看板（预算、已执行、余额）</w:t>
      </w:r>
    </w:p>
    <w:p>
      <w:r>
        <w:t xml:space="preserve">关键规划点：① 财务数据与项目主数据的挂接质量是本域第一优先事项（预算编号、经费科目与项目映射）；② 预算数据当前为时点快照，看板反映"当前状态"；待 ERP 预算模块在线化后再建立按期间的时间序列；③ 已执行口径已冻结（已执行 = 预付账款 + 账面成本 + 应付账款），任何报表不得另算。</w:t>
      </w:r>
    </w:p>
    <w:p>
      <w:pPr>
        <w:pStyle w:val="Heading2"/>
      </w:pPr>
      <w:r>
        <w:t xml:space="preserve">14.5 项目-财务贯通蓝图（远期演进方向）</w:t>
      </w:r>
    </w:p>
    <w:p>
      <w:r>
        <w:t xml:space="preserve">在项目、财务两域各自治理到位、ERP 相关模块建成并稳定运行的前提下，远期可逐步实现以项目为主线的五段数据贯通：</w:t>
      </w:r>
    </w:p>
    <w:p>
      <w:pPr>
        <w:pBdr>
          <w:top w:val="single" w:sz="4" w:color="D1D5DB"/>
          <w:left w:val="single" w:sz="4" w:color="D1D5DB"/>
          <w:bottom w:val="single" w:sz="4" w:color="D1D5DB"/>
          <w:right w:val="single" w:sz="4" w:color="D1D5DB"/>
        </w:pBdr>
        <w:shd w:val="clear" w:color="auto" w:fill="F3F4F6"/>
        <w:spacing w:before="0" w:after="0"/>
        <w:ind w:left="200" w:right="200"/>
      </w:pPr>
      <w:r>
        <w:rPr>
          <w:rFonts w:ascii="Courier New" w:hAnsi="Courier New" w:eastAsia="SimSun"/>
          <w:sz w:val="17"/>
          <w:szCs w:val="17"/>
        </w:rPr>
        <w:t xml:space="preserve">预算编制 → 采购执行 → 库存与领用 → 成本归集 → 项目决算</w:t>
      </w:r>
    </w:p>
    <w:tbl>
      <w:tblPr>
        <w:tblW w:w="5000" w:type="pct"/>
        <w:tblLayout w:type="autofit"/>
        <w:tblLook w:val="04A0" w:firstRow="1" w:lastRow="0" w:firstColumn="1" w:lastColumn="0" w:noHBand="0" w:noVBand="1"/>
      </w:tblPr>
      <w:tr>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环节</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数据内容</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远期勾稽关系</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预算编制</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项目预算（三本账）</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预算 vs 已执行（超支预警）</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采购执行</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请购、订单、合同、到货</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采购金额 vs 预算科目</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库存与领用</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入库、出库、现存量</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采购到货 vs 入库；领用 vs 项目</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成本归集</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项目成本明细</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领用/人工/外协 vs 成本科目</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项目决算</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决算报表</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决算 vs 预算全周期对账</w:t>
            </w:r>
          </w:p>
        </w:tc>
      </w:tr>
    </w:tbl>
    <w:p/>
    <w:p>
      <w:r>
        <w:rPr>
          <w:b/>
          <w:bCs/>
        </w:rPr>
        <w:t xml:space="preserve">明确边界</w:t>
      </w:r>
      <w:r>
        <w:t xml:space="preserve">：该蓝图的实现以相关系统建设进度与数据成熟度为前提，</w:t>
      </w:r>
      <w:r>
        <w:rPr>
          <w:b/>
          <w:bCs/>
        </w:rPr>
        <w:t xml:space="preserve">分步推进、不设硬性时间表，不构成任何阶段的承诺目标</w:t>
      </w:r>
      <w:r>
        <w:t xml:space="preserve">。近期（一、二期）只做两件打基础的事：把项目主数据映射做扎实、把财务数据按项目维度对齐——这两件事无论贯通与否都有独立价值。</w:t>
      </w:r>
    </w:p>
    <w:p>
      <w:pPr>
        <w:pStyle w:val="Heading1"/>
        <w:pageBreakBefore/>
      </w:pPr>
      <w:r>
        <w:t xml:space="preserve">第15章 分期实施路线图</w:t>
      </w:r>
    </w:p>
    <w:p>
      <w:r>
        <w:rPr>
          <w:b/>
          <w:bCs/>
        </w:rPr>
        <w:t xml:space="preserve">【本章导读】</w:t>
      </w:r>
      <w:r>
        <w:t xml:space="preserve"> 治理工作分三期推进，节奏原则是"每期做实再进下期"：一期不动系统、先立规矩治填报；二期接系统、闭环质量；三期服务化、常态化。每期给出目标、任务、里程碑与成效度量，作为年度计划与评估的依据。</w:t>
      </w:r>
    </w:p>
    <w:p>
      <w:pPr>
        <w:pStyle w:val="Heading2"/>
      </w:pPr>
      <w:r>
        <w:t xml:space="preserve">15.1 一期：立规矩、治填报（约 6 个月）</w:t>
      </w:r>
    </w:p>
    <w:p>
      <w:r>
        <w:rPr>
          <w:b/>
          <w:bCs/>
        </w:rPr>
        <w:t xml:space="preserve">目标</w:t>
      </w:r>
      <w:r>
        <w:t xml:space="preserve">：治理组织与核心制度运转起来；项目、财务两域的填报数据"有标准、有校验、有通报"。</w:t>
      </w:r>
    </w:p>
    <w:tbl>
      <w:tblPr>
        <w:tblW w:w="5000" w:type="pct"/>
        <w:tblLayout w:type="autofit"/>
        <w:tblLook w:val="04A0" w:firstRow="1" w:lastRow="0" w:firstColumn="1" w:lastColumn="0" w:noHBand="0" w:noVBand="1"/>
      </w:tblPr>
      <w:tr>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任务</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内容</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里程碑</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组织建立</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成立领导小组、数据管理办公室，各科室指定数据专员</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第 1 月完成</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核心制度</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《数据管理办法》《数据标准管理细则》《数据质量管理细则》《数据填报规范》发布</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第 4 月前发布</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标准发布</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命名/类型/枚举/编码四类标准所级发布；填报模板全面换版</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第 3 月</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主数据清理</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项目映射补全、科室/人员别名清理、别名对照受控化</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第 5 月</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指标字典</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项目 + 财务两域指标字典第一版发布（含 77 项项目管控指标）</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第 4 月</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质量机制</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入湖校验上线；质量月报与月度例会运行</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第 5 月起每月</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宣贯培训</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全员填报规范培训、数据专员专项培训</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第 2~6 月滚动</w:t>
            </w:r>
          </w:p>
        </w:tc>
      </w:tr>
    </w:tbl>
    <w:p/>
    <w:p>
      <w:r>
        <w:rPr>
          <w:b/>
          <w:bCs/>
        </w:rPr>
        <w:t xml:space="preserve">成效度量（一期退出标准）</w:t>
      </w:r>
      <w:r>
        <w:t xml:space="preserve">：项目映射完整率 ≥95%；枚举值域命中率 ≥99%；月度填报按时导入率 ≥95%；填报文件一次校验通过率相比基线显著提升。</w:t>
      </w:r>
    </w:p>
    <w:p>
      <w:r>
        <w:rPr>
          <w:b/>
          <w:bCs/>
        </w:rPr>
        <w:t xml:space="preserve">风险与对策</w:t>
      </w:r>
      <w:r>
        <w:t xml:space="preserve">：业务科室配合度不足 → 以"通报不考核"降低阻力，领导小组例会通报推进情况；模板换版初期错误率上升 → 属正常现象，以培训与错误清单辅导应对，不作负面评价。</w:t>
      </w:r>
    </w:p>
    <w:p>
      <w:pPr>
        <w:pStyle w:val="Heading2"/>
      </w:pPr>
      <w:r>
        <w:t xml:space="preserve">15.2 二期：接系统、闭环质量（约 12 个月）</w:t>
      </w:r>
    </w:p>
    <w:p>
      <w:r>
        <w:rPr>
          <w:b/>
          <w:bCs/>
        </w:rPr>
        <w:t xml:space="preserve">目标</w:t>
      </w:r>
      <w:r>
        <w:t xml:space="preserve">：在线数据源深化接入；质量管理形成完整闭环；财务数据按项目维度可查可算。</w:t>
      </w:r>
    </w:p>
    <w:tbl>
      <w:tblPr>
        <w:tblW w:w="5000" w:type="pct"/>
        <w:tblLayout w:type="autofit"/>
        <w:tblLook w:val="04A0" w:firstRow="1" w:lastRow="0" w:firstColumn="1" w:lastColumn="0" w:noHBand="0" w:noVBand="1"/>
      </w:tblPr>
      <w:tr>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任务</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内容</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里程碑</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ERP 深化</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采购/库存与项目主数据编码对齐；项目财务、预算模块按建设进度接入</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按 ERP 建设计划</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新系统接入</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QMS、PLM 按三维评估与前置件要求接入</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按各系统建设进度</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财务按项目对齐</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经费、预算、成本数据按项目维度关联分析落地，经费执行看板上线</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二期中段</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质量闭环</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整改单流程上线，定责-整改-复验-销号全流程运行</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二期第 3 月</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一致性规则</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跨表一致性规则建立（台账间状态勾稽）</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二期下半段</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资产目录</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数据资产目录覆盖全部主要业务域，密级标识登记完成</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二期末</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制度补齐</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主数据/指标/元数据/安全/生命周期五份细则发布</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二期内</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质量评价</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满足进入条件后，质量得分转为科室评价参考项</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条件达成后</w:t>
            </w:r>
          </w:p>
        </w:tc>
      </w:tr>
    </w:tbl>
    <w:p/>
    <w:p>
      <w:r>
        <w:rPr>
          <w:b/>
          <w:bCs/>
        </w:rPr>
        <w:t xml:space="preserve">成效度量</w:t>
      </w:r>
      <w:r>
        <w:t xml:space="preserve">：在线接入数据域 ≥2 个新增；质量问题平均整改周期 ≤15 个工作日；财务域数据按项目可查率达到既定目标；资产目录覆盖率 100%（主要业务域）。</w:t>
      </w:r>
    </w:p>
    <w:p>
      <w:pPr>
        <w:pStyle w:val="Heading2"/>
      </w:pPr>
      <w:r>
        <w:t xml:space="preserve">15.3 三期：服务化、常态化（持续）</w:t>
      </w:r>
    </w:p>
    <w:p>
      <w:r>
        <w:rPr>
          <w:b/>
          <w:bCs/>
        </w:rPr>
        <w:t xml:space="preserve">目标</w:t>
      </w:r>
      <w:r>
        <w:t xml:space="preserve">：数据从"管起来"走向"用起来"，治理转入常态运营。</w:t>
      </w:r>
    </w:p>
    <w:tbl>
      <w:tblPr>
        <w:tblW w:w="5000" w:type="pct"/>
        <w:tblLayout w:type="autofit"/>
        <w:tblLook w:val="04A0" w:firstRow="1" w:lastRow="0" w:firstColumn="1" w:lastColumn="0" w:noHBand="0" w:noVBand="1"/>
      </w:tblPr>
      <w:tr>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任务</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内容</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共享服务</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《数据共享与服务管理细则》发布；接口服务规范化，共享全部走流程</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考核挂钩</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满足进入条件后，质量指标经所级发文正式纳入考核</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常态运营</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年度治理评估、制度年度修订、规则库滚动扩充成为固定机制</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归档运行</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首轮达梦归档执行并完成恢复验证，归档进入年度例行</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远期方向</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项目-财务贯通蓝图视系统成熟度择机启动试点（不设硬性里程碑）</w:t>
            </w:r>
          </w:p>
        </w:tc>
      </w:tr>
    </w:tbl>
    <w:p/>
    <w:p>
      <w:r>
        <w:rPr>
          <w:b/>
          <w:bCs/>
        </w:rPr>
        <w:t xml:space="preserve">成效度量</w:t>
      </w:r>
      <w:r>
        <w:t xml:space="preserve">：数据共享申请平均办理时长；指标字典覆盖全部在用看板；年度治理评估形成报告并驱动制度修订。</w:t>
      </w:r>
    </w:p>
    <w:p>
      <w:pPr>
        <w:pStyle w:val="Heading2"/>
      </w:pPr>
      <w:r>
        <w:t xml:space="preserve">15.4 路线图总览</w:t>
      </w:r>
    </w:p>
    <w:p>
      <w:pPr>
        <w:pBdr>
          <w:top w:val="single" w:sz="4" w:color="D1D5DB"/>
          <w:left w:val="single" w:sz="4" w:color="D1D5DB"/>
          <w:bottom w:val="single" w:sz="4" w:color="D1D5DB"/>
          <w:right w:val="single" w:sz="4" w:color="D1D5DB"/>
        </w:pBdr>
        <w:shd w:val="clear" w:color="auto" w:fill="F3F4F6"/>
        <w:spacing w:before="0" w:after="0"/>
        <w:ind w:left="200" w:right="200"/>
      </w:pPr>
      <w:r>
        <w:rPr>
          <w:rFonts w:ascii="Courier New" w:hAnsi="Courier New" w:eastAsia="SimSun"/>
          <w:sz w:val="17"/>
          <w:szCs w:val="17"/>
        </w:rPr>
        <w:t xml:space="preserve">一期(6个月)          二期(12个月)             三期(持续)</w:t>
      </w:r>
    </w:p>
    <w:p>
      <w:pPr>
        <w:pBdr>
          <w:top w:val="single" w:sz="4" w:color="D1D5DB"/>
          <w:left w:val="single" w:sz="4" w:color="D1D5DB"/>
          <w:bottom w:val="single" w:sz="4" w:color="D1D5DB"/>
          <w:right w:val="single" w:sz="4" w:color="D1D5DB"/>
        </w:pBdr>
        <w:shd w:val="clear" w:color="auto" w:fill="F3F4F6"/>
        <w:spacing w:before="0" w:after="0"/>
        <w:ind w:left="200" w:right="200"/>
      </w:pPr>
      <w:r>
        <w:rPr>
          <w:rFonts w:ascii="Courier New" w:hAnsi="Courier New" w:eastAsia="SimSun"/>
          <w:sz w:val="17"/>
          <w:szCs w:val="17"/>
        </w:rPr>
        <w:t xml:space="preserve">─────────────      ──────────────────      ─────────────────</w:t>
      </w:r>
    </w:p>
    <w:p>
      <w:pPr>
        <w:pBdr>
          <w:top w:val="single" w:sz="4" w:color="D1D5DB"/>
          <w:left w:val="single" w:sz="4" w:color="D1D5DB"/>
          <w:bottom w:val="single" w:sz="4" w:color="D1D5DB"/>
          <w:right w:val="single" w:sz="4" w:color="D1D5DB"/>
        </w:pBdr>
        <w:shd w:val="clear" w:color="auto" w:fill="F3F4F6"/>
        <w:spacing w:before="0" w:after="0"/>
        <w:ind w:left="200" w:right="200"/>
      </w:pPr>
      <w:r>
        <w:rPr>
          <w:rFonts w:ascii="Courier New" w:hAnsi="Courier New" w:eastAsia="SimSun"/>
          <w:sz w:val="17"/>
          <w:szCs w:val="17"/>
        </w:rPr>
        <w:t xml:space="preserve">组织+制度+标准       ERP深化/QMS/PLM接入      共享服务规范化</w:t>
      </w:r>
    </w:p>
    <w:p>
      <w:pPr>
        <w:pBdr>
          <w:top w:val="single" w:sz="4" w:color="D1D5DB"/>
          <w:left w:val="single" w:sz="4" w:color="D1D5DB"/>
          <w:bottom w:val="single" w:sz="4" w:color="D1D5DB"/>
          <w:right w:val="single" w:sz="4" w:color="D1D5DB"/>
        </w:pBdr>
        <w:shd w:val="clear" w:color="auto" w:fill="F3F4F6"/>
        <w:spacing w:before="0" w:after="0"/>
        <w:ind w:left="200" w:right="200"/>
      </w:pPr>
      <w:r>
        <w:rPr>
          <w:rFonts w:ascii="Courier New" w:hAnsi="Courier New" w:eastAsia="SimSun"/>
          <w:sz w:val="17"/>
          <w:szCs w:val="17"/>
        </w:rPr>
        <w:t xml:space="preserve">模板换版+主数据清理   财务按项目可查可算        质量考核挂钩(所级发文)</w:t>
      </w:r>
    </w:p>
    <w:p>
      <w:pPr>
        <w:pBdr>
          <w:top w:val="single" w:sz="4" w:color="D1D5DB"/>
          <w:left w:val="single" w:sz="4" w:color="D1D5DB"/>
          <w:bottom w:val="single" w:sz="4" w:color="D1D5DB"/>
          <w:right w:val="single" w:sz="4" w:color="D1D5DB"/>
        </w:pBdr>
        <w:shd w:val="clear" w:color="auto" w:fill="F3F4F6"/>
        <w:spacing w:before="0" w:after="0"/>
        <w:ind w:left="200" w:right="200"/>
      </w:pPr>
      <w:r>
        <w:rPr>
          <w:rFonts w:ascii="Courier New" w:hAnsi="Courier New" w:eastAsia="SimSun"/>
          <w:sz w:val="17"/>
          <w:szCs w:val="17"/>
        </w:rPr>
        <w:t xml:space="preserve">指标字典发布         质量整改闭环             治理常态运营</w:t>
      </w:r>
    </w:p>
    <w:p>
      <w:pPr>
        <w:pBdr>
          <w:top w:val="single" w:sz="4" w:color="D1D5DB"/>
          <w:left w:val="single" w:sz="4" w:color="D1D5DB"/>
          <w:bottom w:val="single" w:sz="4" w:color="D1D5DB"/>
          <w:right w:val="single" w:sz="4" w:color="D1D5DB"/>
        </w:pBdr>
        <w:shd w:val="clear" w:color="auto" w:fill="F3F4F6"/>
        <w:spacing w:before="0" w:after="0"/>
        <w:ind w:left="200" w:right="200"/>
      </w:pPr>
      <w:r>
        <w:rPr>
          <w:rFonts w:ascii="Courier New" w:hAnsi="Courier New" w:eastAsia="SimSun"/>
          <w:sz w:val="17"/>
          <w:szCs w:val="17"/>
        </w:rPr>
        <w:t xml:space="preserve">质量通报(不考核)     质量分作评价参考          归档例行/贯通蓝图择机试点</w:t>
      </w:r>
    </w:p>
    <w:p>
      <w:pPr>
        <w:pStyle w:val="Heading1"/>
        <w:pageBreakBefore/>
      </w:pPr>
      <w:r>
        <w:t xml:space="preserve">第16章 业务人员操作指引</w:t>
      </w:r>
    </w:p>
    <w:p>
      <w:r>
        <w:rPr>
          <w:b/>
          <w:bCs/>
        </w:rPr>
        <w:t xml:space="preserve">【本章导读】</w:t>
      </w:r>
      <w:r>
        <w:t xml:space="preserve"> 本章专为业务科室人员编写，不使用技术术语。五个最常见的场景，每个场景告诉你：怎么做、找谁、多久有结果。本章内容与《数据填报规范》一致，日常工作以最新发布的规范为准。</w:t>
      </w:r>
    </w:p>
    <w:p>
      <w:pPr>
        <w:pStyle w:val="Heading2"/>
      </w:pPr>
      <w:r>
        <w:t xml:space="preserve">16.1 我要填报数据</w:t>
      </w:r>
    </w:p>
    <w:p>
      <w:pPr>
        <w:ind w:left="420" w:hanging="220"/>
        <w:spacing w:before="40" w:after="40"/>
      </w:pPr>
      <w:r>
        <w:t xml:space="preserve">1. </w:t>
      </w:r>
      <w:r>
        <w:rPr>
          <w:b/>
          <w:bCs/>
        </w:rPr>
        <w:t xml:space="preserve">用对模板</w:t>
      </w:r>
      <w:r>
        <w:t xml:space="preserve">：只使用数据管理办公室发放的当期模板（模板首页标注版本号），不要沿用旧版或自制表格；</w:t>
      </w:r>
    </w:p>
    <w:p>
      <w:pPr>
        <w:ind w:left="420" w:hanging="220"/>
        <w:spacing w:before="40" w:after="40"/>
      </w:pPr>
      <w:r>
        <w:t xml:space="preserve">2. </w:t>
      </w:r>
      <w:r>
        <w:rPr>
          <w:b/>
          <w:bCs/>
        </w:rPr>
        <w:t xml:space="preserve">下拉的列只选不填</w:t>
      </w:r>
      <w:r>
        <w:t xml:space="preserve">：项目、科室、完成情况、风险等级等列都是下拉选择，直接选，不要手工输入；</w:t>
      </w:r>
    </w:p>
    <w:p>
      <w:pPr>
        <w:ind w:left="420" w:hanging="220"/>
        <w:spacing w:before="40" w:after="40"/>
      </w:pPr>
      <w:r>
        <w:t xml:space="preserve">3. </w:t>
      </w:r>
      <w:r>
        <w:rPr>
          <w:b/>
          <w:bCs/>
        </w:rPr>
        <w:t xml:space="preserve">日期按格式</w:t>
      </w:r>
      <w:r>
        <w:t xml:space="preserve">：统一"年-月-日"（如 2026-07-05），不要用"7月5日""2026.7.5"；</w:t>
      </w:r>
    </w:p>
    <w:p>
      <w:pPr>
        <w:ind w:left="420" w:hanging="220"/>
        <w:spacing w:before="40" w:after="40"/>
      </w:pPr>
      <w:r>
        <w:t xml:space="preserve">4. </w:t>
      </w:r>
      <w:r>
        <w:rPr>
          <w:b/>
          <w:bCs/>
        </w:rPr>
        <w:t xml:space="preserve">没有就留空</w:t>
      </w:r>
      <w:r>
        <w:t xml:space="preserve">：不要填"—""无""/"占位；</w:t>
      </w:r>
    </w:p>
    <w:p>
      <w:pPr>
        <w:ind w:left="420" w:hanging="220"/>
        <w:spacing w:before="40" w:after="40"/>
      </w:pPr>
      <w:r>
        <w:t xml:space="preserve">5. </w:t>
      </w:r>
      <w:r>
        <w:rPr>
          <w:b/>
          <w:bCs/>
        </w:rPr>
        <w:t xml:space="preserve">名称保持一致</w:t>
      </w:r>
      <w:r>
        <w:t xml:space="preserve">：同一个问题/风险/任务，每个月的名称写法必须与上月完全相同（建议复制上月表续填），否则会被当成两条记录；</w:t>
      </w:r>
    </w:p>
    <w:p>
      <w:pPr>
        <w:ind w:left="420" w:hanging="220"/>
        <w:spacing w:before="40" w:after="40"/>
      </w:pPr>
      <w:r>
        <w:t xml:space="preserve">6. </w:t>
      </w:r>
      <w:r>
        <w:rPr>
          <w:b/>
          <w:bCs/>
        </w:rPr>
        <w:t xml:space="preserve">提交前过一遍自查</w:t>
      </w:r>
      <w:r>
        <w:t xml:space="preserve">：新出现的项目是否已在下拉里？有没有手工输入的分类值？必填列是否有空？</w:t>
      </w:r>
    </w:p>
    <w:tbl>
      <w:tblPr>
        <w:tblW w:w="5000" w:type="pct"/>
        <w:tblLayout w:type="autofit"/>
        <w:tblLook w:val="04A0" w:firstRow="1" w:lastRow="0" w:firstColumn="1" w:lastColumn="0" w:noHBand="0" w:noVBand="1"/>
      </w:tblPr>
      <w:tr>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常见错误</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正确做法</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"2026.5.1"、"5月1日"</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2026-05-01</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手工输入"高风险"</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下拉选择"高"</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空格填"—"、"无"</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留空</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直接手写新项目名</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先申请主数据（见16.3）</w:t>
            </w:r>
          </w:p>
        </w:tc>
      </w:tr>
    </w:tbl>
    <w:p/>
    <w:p>
      <w:pPr>
        <w:pStyle w:val="Heading2"/>
      </w:pPr>
      <w:r>
        <w:t xml:space="preserve">16.2 我发现数据不对</w:t>
      </w:r>
    </w:p>
    <w:p>
      <w:pPr>
        <w:ind w:left="420" w:hanging="220"/>
        <w:spacing w:before="40" w:after="40"/>
      </w:pPr>
      <w:r>
        <w:t xml:space="preserve">• </w:t>
      </w:r>
      <w:r>
        <w:rPr>
          <w:b/>
          <w:bCs/>
        </w:rPr>
        <w:t xml:space="preserve">看板数字和我理解的不一样</w:t>
      </w:r>
      <w:r>
        <w:t xml:space="preserve"> → 先点指标旁的口径说明（ℹ️），看计算公式和统计范围，多数疑问在这里解决；仍有异议 → 通过科室数据专员提交</w:t>
      </w:r>
      <w:r>
        <w:rPr>
          <w:b/>
          <w:bCs/>
        </w:rPr>
        <w:t xml:space="preserve">口径异议单</w:t>
      </w:r>
      <w:r>
        <w:t xml:space="preserve">，数据管理办公室组织复核，一般 5 个工作日内答复。</w:t>
      </w:r>
    </w:p>
    <w:p>
      <w:pPr>
        <w:ind w:left="420" w:hanging="220"/>
        <w:spacing w:before="40" w:after="40"/>
      </w:pPr>
      <w:r>
        <w:t xml:space="preserve">• </w:t>
      </w:r>
      <w:r>
        <w:rPr>
          <w:b/>
          <w:bCs/>
        </w:rPr>
        <w:t xml:space="preserve">数据本身错了</w:t>
      </w:r>
      <w:r>
        <w:t xml:space="preserve">（比如某条风险状态不对）→ 报科室数据专员核实：填报错误就在下月填报中修正（同名覆盖），非填报原因则由专员转数据管理办公室按整改流程处理。</w:t>
      </w:r>
    </w:p>
    <w:p>
      <w:pPr>
        <w:ind w:left="420" w:hanging="220"/>
        <w:spacing w:before="40" w:after="40"/>
      </w:pPr>
      <w:r>
        <w:t xml:space="preserve">• </w:t>
      </w:r>
      <w:r>
        <w:rPr>
          <w:b/>
          <w:bCs/>
        </w:rPr>
        <w:t xml:space="preserve">我的文件被退回了</w:t>
      </w:r>
      <w:r>
        <w:t xml:space="preserve"> → 文件附有逐行错误清单（第几行、哪列、什么错），按清单修正后重新提交即可，不需要重做整表。</w:t>
      </w:r>
    </w:p>
    <w:p>
      <w:pPr>
        <w:pStyle w:val="Heading2"/>
      </w:pPr>
      <w:r>
        <w:t xml:space="preserve">16.3 我要新增一个值（项目/枚举/别名）</w:t>
      </w:r>
    </w:p>
    <w:tbl>
      <w:tblPr>
        <w:tblW w:w="5000" w:type="pct"/>
        <w:tblLayout w:type="autofit"/>
        <w:tblLook w:val="04A0" w:firstRow="1" w:lastRow="0" w:firstColumn="1" w:lastColumn="0" w:noHBand="0" w:noVBand="1"/>
      </w:tblPr>
      <w:tr>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想新增的</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找谁</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流程</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一般时长</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新项目（下拉里没有）</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科室数据专员 → 数据管理办公室</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主数据申请单 → 项目管理科室确认 → 登记进下拉</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数个工作日</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新枚举值（分类里没有合适的）</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同上</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标准变更申请单 → 评审发布 → 更新模板</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视评审情况</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科室/人员的新写法</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同上</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别名登记（归口科室确认）</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数个工作日</w:t>
            </w:r>
          </w:p>
        </w:tc>
      </w:tr>
    </w:tbl>
    <w:p/>
    <w:p>
      <w:r>
        <w:rPr>
          <w:b/>
          <w:bCs/>
        </w:rPr>
        <w:t xml:space="preserve">在新值生效前，不要自己造一个填上去</w:t>
      </w:r>
      <w:r>
        <w:t xml:space="preserve">——宁可这条数据晚报几天，也不要产生一条挂不上号的数据。</w:t>
      </w:r>
    </w:p>
    <w:p>
      <w:pPr>
        <w:pStyle w:val="Heading2"/>
      </w:pPr>
      <w:r>
        <w:t xml:space="preserve">16.4 我对看板数字有疑问</w:t>
      </w:r>
    </w:p>
    <w:p>
      <w:r>
        <w:t xml:space="preserve">三步：① 点指标旁的口径说明看定义与公式；② 核对统计范围（时间筛选、是否含一般节点等最常见）；③ 仍有疑问走口径异议单（见16.2）。请不要基于自己的理解"手工修正"数字后再上报——如果口径确实需要调整，走指标变更流程改的是所有人的口径。</w:t>
      </w:r>
    </w:p>
    <w:p>
      <w:pPr>
        <w:pStyle w:val="Heading2"/>
      </w:pPr>
      <w:r>
        <w:t xml:space="preserve">16.5 我要用别人的数据</w:t>
      </w:r>
    </w:p>
    <w:p>
      <w:pPr>
        <w:ind w:left="420" w:hanging="220"/>
        <w:spacing w:before="40" w:after="40"/>
      </w:pPr>
      <w:r>
        <w:t xml:space="preserve">1. </w:t>
      </w:r>
      <w:r>
        <w:t xml:space="preserve">查</w:t>
      </w:r>
      <w:r>
        <w:rPr>
          <w:b/>
          <w:bCs/>
        </w:rPr>
        <w:t xml:space="preserve">数据资产目录</w:t>
      </w:r>
      <w:r>
        <w:t xml:space="preserve">（入口由数据管理办公室提供），确认数据是否存在、归哪个科室、什么密级；</w:t>
      </w:r>
    </w:p>
    <w:p>
      <w:pPr>
        <w:ind w:left="420" w:hanging="220"/>
        <w:spacing w:before="40" w:after="40"/>
      </w:pPr>
      <w:r>
        <w:t xml:space="preserve">2. </w:t>
      </w:r>
      <w:r>
        <w:t xml:space="preserve">优先申请</w:t>
      </w:r>
      <w:r>
        <w:rPr>
          <w:b/>
          <w:bCs/>
        </w:rPr>
        <w:t xml:space="preserve">看板权限</w:t>
      </w:r>
      <w:r>
        <w:t xml:space="preserve">（权限申请 → 数据归属科室审批）；</w:t>
      </w:r>
    </w:p>
    <w:p>
      <w:pPr>
        <w:ind w:left="420" w:hanging="220"/>
        <w:spacing w:before="40" w:after="40"/>
      </w:pPr>
      <w:r>
        <w:t xml:space="preserve">3. </w:t>
      </w:r>
      <w:r>
        <w:t xml:space="preserve">确需数据文件的，提交</w:t>
      </w:r>
      <w:r>
        <w:rPr>
          <w:b/>
          <w:bCs/>
        </w:rPr>
        <w:t xml:space="preserve">离线提取申请</w:t>
      </w:r>
      <w:r>
        <w:t xml:space="preserve">，写清用途与去向；高敏数据会加签保密办，办理时间相应延长；</w:t>
      </w:r>
    </w:p>
    <w:p>
      <w:pPr>
        <w:ind w:left="420" w:hanging="220"/>
        <w:spacing w:before="40" w:after="40"/>
      </w:pPr>
      <w:r>
        <w:t xml:space="preserve">4. </w:t>
      </w:r>
      <w:r>
        <w:t xml:space="preserve">拿到的数据只能用于申请的用途，不得转发给第三方。</w:t>
      </w:r>
    </w:p>
    <w:p>
      <w:pPr>
        <w:pStyle w:val="Heading1"/>
        <w:pageBreakBefore/>
      </w:pPr>
      <w:r>
        <w:t xml:space="preserve">第17章 保障措施</w:t>
      </w:r>
    </w:p>
    <w:p>
      <w:r>
        <w:rPr>
          <w:b/>
          <w:bCs/>
        </w:rPr>
        <w:t xml:space="preserve">【本章导读】</w:t>
      </w:r>
      <w:r>
        <w:t xml:space="preserve"> 治理能否落地，取决于人会不会、机制转不转、改进停不停。本章规定培训、运营、持续改进三项保障。</w:t>
      </w:r>
    </w:p>
    <w:p>
      <w:pPr>
        <w:pStyle w:val="Heading2"/>
      </w:pPr>
      <w:r>
        <w:t xml:space="preserve">17.1 宣贯与培训</w:t>
      </w:r>
    </w:p>
    <w:tbl>
      <w:tblPr>
        <w:tblW w:w="5000" w:type="pct"/>
        <w:tblLayout w:type="autofit"/>
        <w:tblLook w:val="04A0" w:firstRow="1" w:lastRow="0" w:firstColumn="1" w:lastColumn="0" w:noHBand="0" w:noVBand="1"/>
      </w:tblPr>
      <w:tr>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对象</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内容</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频率</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所/科室领导</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治理框架、职责矩阵、路线图（本方案第一篇）</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启动时 + 年度</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科室数据专员</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标准、模板、主数据/口径确认流程、整改流程（专项培训 + 考核上岗）</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启动时 + 每半年复训</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全体填报人员</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《数据填报规范》与常见错误（第16章内容）</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启动时 + 模板换版时</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平台开发运维</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分层红线、模型流程、安全审计要求</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启动时 + 新人入职</w:t>
            </w:r>
          </w:p>
        </w:tc>
      </w:tr>
    </w:tbl>
    <w:p/>
    <w:p>
      <w:r>
        <w:t xml:space="preserve">新制度、新标准、新模板发布必须配套宣贯，未经宣贯不启动校验拦截——先教会、再要求。</w:t>
      </w:r>
    </w:p>
    <w:p>
      <w:pPr>
        <w:pStyle w:val="Heading2"/>
      </w:pPr>
      <w:r>
        <w:t xml:space="preserve">17.2 运行保障</w:t>
      </w:r>
    </w:p>
    <w:p>
      <w:pPr>
        <w:ind w:left="420" w:hanging="220"/>
        <w:spacing w:before="40" w:after="40"/>
      </w:pPr>
      <w:r>
        <w:t xml:space="preserve">• </w:t>
      </w:r>
      <w:r>
        <w:rPr>
          <w:b/>
          <w:bCs/>
        </w:rPr>
        <w:t xml:space="preserve">例会机制</w:t>
      </w:r>
      <w:r>
        <w:t xml:space="preserve">：质量月度例会、治理季度评审会、年度治理评估（第3章）按期召开，形成会议纪要与事项跟踪清单；</w:t>
      </w:r>
    </w:p>
    <w:p>
      <w:pPr>
        <w:ind w:left="420" w:hanging="220"/>
        <w:spacing w:before="40" w:after="40"/>
      </w:pPr>
      <w:r>
        <w:t xml:space="preserve">• </w:t>
      </w:r>
      <w:r>
        <w:rPr>
          <w:b/>
          <w:bCs/>
        </w:rPr>
        <w:t xml:space="preserve">通报机制</w:t>
      </w:r>
      <w:r>
        <w:t xml:space="preserve">：质量月报、整改超期事项、标准与口径变更通过统一渠道发布；</w:t>
      </w:r>
    </w:p>
    <w:p>
      <w:pPr>
        <w:ind w:left="420" w:hanging="220"/>
        <w:spacing w:before="40" w:after="40"/>
      </w:pPr>
      <w:r>
        <w:t xml:space="preserve">• </w:t>
      </w:r>
      <w:r>
        <w:rPr>
          <w:b/>
          <w:bCs/>
        </w:rPr>
        <w:t xml:space="preserve">资源保障</w:t>
      </w:r>
      <w:r>
        <w:t xml:space="preserve">：数据管理办公室岗位编制与数据专员的工作量认定由领导小组协调落实——治理是长期投入，不能靠临时借调。</w:t>
      </w:r>
    </w:p>
    <w:p>
      <w:pPr>
        <w:pStyle w:val="Heading2"/>
      </w:pPr>
      <w:r>
        <w:t xml:space="preserve">17.3 持续改进</w:t>
      </w:r>
    </w:p>
    <w:p>
      <w:pPr>
        <w:ind w:left="420" w:hanging="220"/>
        <w:spacing w:before="40" w:after="40"/>
      </w:pPr>
      <w:r>
        <w:t xml:space="preserve">• </w:t>
      </w:r>
      <w:r>
        <w:t xml:space="preserve">制度与标准每年随年度治理评估统一修订；</w:t>
      </w:r>
    </w:p>
    <w:p>
      <w:pPr>
        <w:ind w:left="420" w:hanging="220"/>
        <w:spacing w:before="40" w:after="40"/>
      </w:pPr>
      <w:r>
        <w:t xml:space="preserve">• </w:t>
      </w:r>
      <w:r>
        <w:t xml:space="preserve">质量规则库每半年评审扩充；</w:t>
      </w:r>
    </w:p>
    <w:p>
      <w:pPr>
        <w:ind w:left="420" w:hanging="220"/>
        <w:spacing w:before="40" w:after="40"/>
      </w:pPr>
      <w:r>
        <w:t xml:space="preserve">• </w:t>
      </w:r>
      <w:r>
        <w:t xml:space="preserve">每年对照本方案路线图评估进度偏差，调整下年度计划；重大调整（如接入次序变化、考核启动时点）报领导小组审定。</w:t>
      </w:r>
    </w:p>
    <w:p>
      <w:pPr>
        <w:pStyle w:val="Heading1"/>
        <w:pageBreakBefore/>
      </w:pPr>
      <w:r>
        <w:t xml:space="preserve">附录</w:t>
      </w:r>
    </w:p>
    <w:p>
      <w:pPr>
        <w:pStyle w:val="Heading1"/>
        <w:pageBreakBefore/>
      </w:pPr>
      <w:r>
        <w:t xml:space="preserve">附录A 术语表</w:t>
      </w:r>
    </w:p>
    <w:tbl>
      <w:tblPr>
        <w:tblW w:w="5000" w:type="pct"/>
        <w:tblLayout w:type="autofit"/>
        <w:tblLook w:val="04A0" w:firstRow="1" w:lastRow="0" w:firstColumn="1" w:lastColumn="0" w:noHBand="0" w:noVBand="1"/>
      </w:tblPr>
      <w:tr>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术语</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说明</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数据治理</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对数据的标准、质量、安全、共享等进行统一管理的组织、制度与技术活动的总称</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数据域 / 业务数据域</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按业务归类的数据集合，如项目域、财务域、采购域</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贴源层（ODS）</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数据仓库第一层，原始数据原样落地，保留导入历史</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结构化层（STG）</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数据仓库第二层，只做格式收敛（类型转换、清理占位符、规范字段名），不改变业务含义</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明细层（DWD）</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数据仓库第三层，落实业务解释：别名归一、分类打标、口径计算</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汇总层（DWS）</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数据仓库第四层，按主题与周期（如月度）汇总</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应用层（ADS）</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数据仓库第五层，面向看板与服务的最终指标结果</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主数据</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被多个业务域共同引用的基础数据：项目、物料、供应商、人员、科室、会计科目</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统一项目标识</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平台为每个项目生成的全局唯一编号，各来源项目数据靠它关联</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别名对照表</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"各种写法 → 标准值"的对照清单，用于自动归一同一事物的多种写法</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枚举 / 值域</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某字段允许填写的固定取值清单（即"下拉选择"的内容）</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元数据</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描述数据的数据：表和字段的含义、来源、密级、责任人等</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数据资产目录</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全所数据资产的登记清单，按业务域组织，含密级与归口科室</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血缘</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数据的来龙去脉：从填报模板字段到看板指标的完整加工链路</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指标字典 / 指标卡</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全部指标的权威定义登记（业务定义、公式、范围、阈值等十要素）</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口径冻结</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一批指标定义评审通过后整体固化，标注日期，之后变更须走流程</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批次号</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每次文件导入生成的唯一编号，用于追溯与重算</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入湖 / 入湖校验</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数据文件导入平台的过程 / 导入时的自动质量检查</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归档</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超出在线保留期的数据转入冷备归档库（达梦数据库）的过程</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双人监销</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数据销毁时由两名非操作人现场监督并签字的制度</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DCMM</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《数据管理能力成熟度评估模型》（GB/T 36073），国家标准</w:t>
            </w:r>
          </w:p>
        </w:tc>
      </w:tr>
    </w:tbl>
    <w:p/>
    <w:p>
      <w:pPr>
        <w:pStyle w:val="Heading1"/>
        <w:pageBreakBefore/>
      </w:pPr>
      <w:r>
        <w:t xml:space="preserve">附录B DCMM 能力域对标表</w:t>
      </w:r>
    </w:p>
    <w:p>
      <w:r>
        <w:t xml:space="preserve">本方案未按 DCMM 逐域成章，但内容完整覆盖其八个能力域，对应关系如下（供成熟度评估或贯标时参考）：</w:t>
      </w:r>
    </w:p>
    <w:tbl>
      <w:tblPr>
        <w:tblW w:w="5000" w:type="pct"/>
        <w:tblLayout w:type="autofit"/>
        <w:tblLook w:val="04A0" w:firstRow="1" w:lastRow="0" w:firstColumn="1" w:lastColumn="0" w:noHBand="0" w:noVBand="1"/>
      </w:tblPr>
      <w:tr>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DCMM 能力域</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本方案对应章节</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数据战略</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第1章（诊断与切入策略）、第2章（目标）、第15章（路线图）</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数据治理</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第3章（组织）、第4章（制度）、第17章（保障）</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数据架构</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第2章2.3（架构总览）、第6章（分层与模型）、第7章（主数据分布）</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数据应用</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第8章（指标与看板）、第13章（共享与服务）、第14章（数据流规划）</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数据安全</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第11章（安全管理）、第12章12.3（销毁）、第13章（共享审批）</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数据质量</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第10章（全章）</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数据标准</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第5章（标准体系与流程）、第7章（主数据标准）、第8章（指标标准）</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数据生存周期</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第12章（保留、归档、销毁）、第9章（血缘支撑追溯）</w:t>
            </w:r>
          </w:p>
        </w:tc>
      </w:tr>
    </w:tbl>
    <w:p/>
    <w:p>
      <w:pPr>
        <w:pStyle w:val="Heading1"/>
        <w:pageBreakBefore/>
      </w:pPr>
      <w:r>
        <w:t xml:space="preserve">附录C 数据标准明细</w:t>
      </w:r>
    </w:p>
    <w:p>
      <w:pPr>
        <w:pStyle w:val="Heading2"/>
      </w:pPr>
      <w:r>
        <w:t xml:space="preserve">C.1 命名规范全表</w:t>
      </w:r>
    </w:p>
    <w:tbl>
      <w:tblPr>
        <w:tblW w:w="5000" w:type="pct"/>
        <w:tblLayout w:type="autofit"/>
        <w:tblLook w:val="04A0" w:firstRow="1" w:lastRow="0" w:firstColumn="1" w:lastColumn="0" w:noHBand="0" w:noVBand="1"/>
      </w:tblPr>
      <w:tr>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规范项</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标准</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示例</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贴源层表命名</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ods_{系统或主题}_{源表名}</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ods_project_subject_domain_v2</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结构化层模型命名</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stg_{源系统}__{源表或主题}_v{版本}</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stg_pm__project_subject_domain_v2</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维度表命名</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dim_{实体名}</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dim_project_master</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明细层表命名</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biz_dwd_{主题}_{事实}_v{版本}</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biz_dwd_project_node_v2</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汇总层表命名</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biz_dws_{主题}_{粒度}_v{版本}</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biz_dws_progress_monthly_v2</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应用层表命名</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biz_ads_{主题}_{kpi/derived}_v{版本}</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biz_ads_progress_kpi_v2</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字段命名</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小写字母 + 下划线</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project_uid</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主键命名</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{实体名}_id / {实体名}_uid</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task_id、project_uid</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外键命名</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{关联实体名}_id</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responsible_dept_id</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布尔字段</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is_{含义}</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is_delayed</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时间字段</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{动作}_time / {动作}_date</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create_time、plan_date</w:t>
            </w:r>
          </w:p>
        </w:tc>
      </w:tr>
    </w:tbl>
    <w:p/>
    <w:p>
      <w:pPr>
        <w:pStyle w:val="Heading2"/>
      </w:pPr>
      <w:r>
        <w:t xml:space="preserve">C.2 数据类型标准</w:t>
      </w:r>
    </w:p>
    <w:tbl>
      <w:tblPr>
        <w:tblW w:w="5000" w:type="pct"/>
        <w:tblLayout w:type="autofit"/>
        <w:tblLook w:val="04A0" w:firstRow="1" w:lastRow="0" w:firstColumn="1" w:lastColumn="0" w:noHBand="0" w:noVBand="1"/>
      </w:tblPr>
      <w:tr>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数据类型</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使用场景</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标准定义</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主键 / 外键</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唯一标识</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变长字符 50 位（跨系统自然键可 100 位）；内部代理键可用自增长整数</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编码字段</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业务编码</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变长字符 50 位</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名称字段</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短文本</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变长字符 200 位</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长文本</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描述信息</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不限长文本</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日期字段</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仅日期</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日期型</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时间字段</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日期+时间</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时间戳型</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月份字段</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年月</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7 位文本，格式 YYYY-MM</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金额字段</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货币</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数值型 numeric(28,8)</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数量字段</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物料数量</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数值型 numeric(28,8)</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比率字段</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百分比</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numeric(7,4) 存比例或 numeric(7,2) 存百分数，字段说明中必须写明存法</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计数字段</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整数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整型</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布尔字段</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是/否</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布尔型</w:t>
            </w:r>
          </w:p>
        </w:tc>
      </w:tr>
    </w:tbl>
    <w:p/>
    <w:p>
      <w:pPr>
        <w:pStyle w:val="Heading2"/>
      </w:pPr>
      <w:r>
        <w:t xml:space="preserve">C.3 枚举值域标准（全量）</w:t>
      </w:r>
    </w:p>
    <w:tbl>
      <w:tblPr>
        <w:tblW w:w="5000" w:type="pct"/>
        <w:tblLayout w:type="autofit"/>
        <w:tblLook w:val="04A0" w:firstRow="1" w:lastRow="0" w:firstColumn="1" w:lastColumn="0" w:noHBand="0" w:noVBand="1"/>
      </w:tblPr>
      <w:tr>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枚举分类</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标准代码</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标准显示值</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完成情况</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NORMAL_PENDING</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正常待完成</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完成情况</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ABNORMAL_PENDING</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不正常待变更</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完成情况</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OVERDUE_NOCHANGE</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超期未完成未变更</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完成情况</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ON_TIME</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按时完成</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完成情况</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OVERDUE_CHANGED</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超期已完成已变更</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完成情况</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OVERDUE_NO_CHANGE</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超期已完成未变更</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风险等级</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HIGH / MEDIUM / LOW</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高 / 中 / 低</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闭环状态</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CLOSED</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已闭环</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闭环状态</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RESPONDED</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已回应未闭环</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闭环状态</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NO_RESPONSE</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未回应未闭环</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原因分类</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DESIGN / PROCESS / OPERATION / MANAGEMENT / OUTSOURCING / SOFTWARE / COMPONENT / OTHER</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设计 / 工艺 / 操作 / 管理 / 外协外购 / 软件 / 元器件 / 其他</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质量问题状态</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TECH_ZEROING</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已完成技术归零</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质量问题状态</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MGMT_ZEROING</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已完成管理归零</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质量问题状态</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BOTH_ZEROING</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已完成技术和管理归零</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质量问题状态</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NOT_ZEROING</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未完成归零</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更改类别</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I / II / III</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Ⅰ类 / Ⅱ类 / Ⅲ类</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专利类型</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INVENTION / UTILITY / DESIGN</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发明专利 / 实用新型 / 外观设计</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专利状态</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ACCEPTED / PUBLISHED / GRANTED</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已受理 / 已公开 / 已授权</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信息来源</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OFFICIAL_DOC / ORIGINAL_DELAY / TEMP_ADD / RISK_PLAN / QUALITY_PLAN / CHANGE_PLAN</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正式发文 / 原节点延误 / 临时增加节点 / 风险管控计划 / 质量归零计划 / 技术状态变更计划</w:t>
            </w:r>
          </w:p>
        </w:tc>
      </w:tr>
    </w:tbl>
    <w:p/>
    <w:p>
      <w:pPr>
        <w:pStyle w:val="Heading2"/>
      </w:pPr>
      <w:r>
        <w:t xml:space="preserve">C.4 编码规范</w:t>
      </w:r>
    </w:p>
    <w:tbl>
      <w:tblPr>
        <w:tblW w:w="5000" w:type="pct"/>
        <w:tblLayout w:type="autofit"/>
        <w:tblLook w:val="04A0" w:firstRow="1" w:lastRow="0" w:firstColumn="1" w:lastColumn="0" w:noHBand="0" w:noVBand="1"/>
      </w:tblPr>
      <w:tr>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编码类型</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生成规则</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示例</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项目统一标识</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平台生成全局唯一编号</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a1b2c3d4…（32 位）</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任务标识</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按"项目+分系统+节点任务"要素生成稳定编号</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摘要值（32 位）</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问题标识</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按"项目+问题名称"要素生成</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同上</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风险标识</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按"项目+风险名称"要素生成</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同上</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变更标识</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按"项目+技术状态项+更改事项"要素生成</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同上</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导入批次号</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BATCH_{YYYYMMDD}_{序号}</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BATCH_20260115_001</w:t>
            </w:r>
          </w:p>
        </w:tc>
      </w:tr>
    </w:tbl>
    <w:p/>
    <w:p>
      <w:pPr>
        <w:pStyle w:val="Heading1"/>
        <w:pageBreakBefore/>
      </w:pPr>
      <w:r>
        <w:t xml:space="preserve">附录D 数据质量规则清单（第一版）</w:t>
      </w:r>
    </w:p>
    <w:tbl>
      <w:tblPr>
        <w:tblW w:w="5000" w:type="pct"/>
        <w:tblLayout w:type="autofit"/>
        <w:tblLook w:val="04A0" w:firstRow="1" w:lastRow="0" w:firstColumn="1" w:lastColumn="0" w:noHBand="0" w:noVBand="1"/>
      </w:tblPr>
      <w:tr>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编号</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维度</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规则</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适用范围</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阈值/级别</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DQ-01</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完整性</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项目映射完整率（台账项目与统一标识的映射比例）</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项目映射表</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≥95%，严重级</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DQ-02</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完整性</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人员匹配率（填报人员与人员主数据匹配比例）</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各明细表</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≥90%，严重级</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DQ-03</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完整性</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科室匹配率（填报科室与科室主数据匹配比例）</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各明细表</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≥95%，严重级</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DQ-04</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完整性</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必填字段非空率（项目编号、名称、责任科室等）</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各填报模板</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100%，阻断级</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DQ-05</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准确性</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枚举字段值域命中率</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全部下拉字段</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100%，阻断级</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DQ-06</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准确性</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日期格式合规率（可解析为标准日期）</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全部日期字段</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≥99%，严重级</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DQ-07</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准确性</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数值字段可解析率</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金额、数量、计数字段</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≥99%，严重级</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DQ-08</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准确性</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占位符残留率（"—""无"等）</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全部文本字段</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趋零，一般级</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DQ-09</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唯一性</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业务标识唯一率（任务/问题/风险/变更）</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明细层各事实表</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100%，阻断级</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DQ-10</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唯一性</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同名台账记录跨月一致率（防止同一事项写法漂移）</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项目域各台账</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监控项，一般级</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DQ-11</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及时性</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月度填报按时导入率</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各离线数据域</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≥95%，通报项</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DQ-12</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及时性</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在线同步延迟</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ERP 各同步域</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按接入约定，严重级</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DQ-13</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一致性</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质量问题台账与措施表状态一致率</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项目域</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二期建立</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DQ-14</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一致性</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风险台账与措施表状态一致率</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项目域</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二期建立</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DQ-15</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一致性</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预算-执行勾稽（预算 vs 已执行口径核对）</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财务域</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远期，随贯通蓝图</w:t>
            </w:r>
          </w:p>
        </w:tc>
      </w:tr>
    </w:tbl>
    <w:p/>
    <w:p>
      <w:r>
        <w:t xml:space="preserve">说明：阻断级规则不通过的数据不得进入明细层；严重级进入整改清单；一般级累计通报。规则库每半年评审扩充。</w:t>
      </w:r>
    </w:p>
    <w:p>
      <w:pPr>
        <w:pStyle w:val="Heading1"/>
        <w:pageBreakBefore/>
      </w:pPr>
      <w:r>
        <w:t xml:space="preserve">附录E 表单模板</w:t>
      </w:r>
    </w:p>
    <w:p>
      <w:pPr>
        <w:pStyle w:val="Heading2"/>
      </w:pPr>
      <w:r>
        <w:t xml:space="preserve">E.1 主数据变更申请单</w:t>
      </w:r>
    </w:p>
    <w:tbl>
      <w:tblPr>
        <w:tblW w:w="5000" w:type="pct"/>
        <w:tblLayout w:type="autofit"/>
        <w:tblLook w:val="04A0" w:firstRow="1" w:lastRow="0" w:firstColumn="1" w:lastColumn="0" w:noHBand="0" w:noVBand="1"/>
      </w:tblPr>
      <w:tr>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项</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填写内容</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申请编号 / 日期</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（数据管理办公室编号）</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申请科室 / 申请人</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主数据类型</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□项目 □物料 □供应商 □人员 □科室 □会计科目 □别名登记</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变更类型</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□新增 □修改 □停用</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变更内容</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（新增值/修改前后对照）</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业务理由</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归口科室确认</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签字/日期</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数据管理办公室登记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登记人/生效日期</w:t>
            </w:r>
          </w:p>
        </w:tc>
      </w:tr>
    </w:tbl>
    <w:p/>
    <w:p>
      <w:pPr>
        <w:pStyle w:val="Heading2"/>
      </w:pPr>
      <w:r>
        <w:t xml:space="preserve">E.2 标准变更申请单</w:t>
      </w:r>
    </w:p>
    <w:tbl>
      <w:tblPr>
        <w:tblW w:w="5000" w:type="pct"/>
        <w:tblLayout w:type="autofit"/>
        <w:tblLook w:val="04A0" w:firstRow="1" w:lastRow="0" w:firstColumn="1" w:lastColumn="0" w:noHBand="0" w:noVBand="1"/>
      </w:tblPr>
      <w:tr>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项</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填写内容</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申请编号 / 日期</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申请科室 / 申请人</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标准类别</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□命名 □数据类型 □枚举值域 □编码</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变更内容</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（新增/修改条目，修改前后对照）</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业务理由</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下游影响评估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（影响的模板、模型、指标清单——数据管理办公室填写）</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会签意见</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相关科室签字</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审定与发布</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发布人/版本号/发布日期</w:t>
            </w:r>
          </w:p>
        </w:tc>
      </w:tr>
    </w:tbl>
    <w:p/>
    <w:p>
      <w:pPr>
        <w:pStyle w:val="Heading2"/>
      </w:pPr>
      <w:r>
        <w:t xml:space="preserve">E.3 数据质量整改单</w:t>
      </w:r>
    </w:p>
    <w:tbl>
      <w:tblPr>
        <w:tblW w:w="5000" w:type="pct"/>
        <w:tblLayout w:type="autofit"/>
        <w:tblLook w:val="04A0" w:firstRow="1" w:lastRow="0" w:firstColumn="1" w:lastColumn="0" w:noHBand="0" w:noVBand="1"/>
      </w:tblPr>
      <w:tr>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项</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填写内容</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整改单编号 / 登记日期</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问题描述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（规则编号、涉及数据域、问题数据量）</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问题定位</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（批次号、文件、行号——依据血缘）</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问题级别</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□阻断 □严重 □一般</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责任认定</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□填报科室：____ □平台加工 □标准缺陷</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整改措施与期限</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复验结论</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复验人/日期/结论</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销号</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关闭人/日期</w:t>
            </w:r>
          </w:p>
        </w:tc>
      </w:tr>
    </w:tbl>
    <w:p/>
    <w:p>
      <w:pPr>
        <w:pStyle w:val="Heading2"/>
      </w:pPr>
      <w:r>
        <w:t xml:space="preserve">E.4 数据共享申请单</w:t>
      </w:r>
    </w:p>
    <w:tbl>
      <w:tblPr>
        <w:tblW w:w="5000" w:type="pct"/>
        <w:tblLayout w:type="autofit"/>
        <w:tblLook w:val="04A0" w:firstRow="1" w:lastRow="0" w:firstColumn="1" w:lastColumn="0" w:noHBand="0" w:noVBand="1"/>
      </w:tblPr>
      <w:tr>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项</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填写内容</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申请编号 / 日期</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申请科室 / 申请人</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共享方式</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□看板授权 □数据接口 □离线提取</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数据内容</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（资产目录条目、字段范围、时间范围）</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数据密级</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（按资产目录登记）</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用途与去向</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使用期限</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数据归属科室审批</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签字/日期</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数据管理办公室审批</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签字/日期</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保密办审批（高敏/涉外必经）</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签字/日期</w:t>
            </w:r>
          </w:p>
        </w:tc>
      </w:tr>
    </w:tbl>
    <w:p/>
    <w:p>
      <w:pPr>
        <w:pStyle w:val="Heading2"/>
      </w:pPr>
      <w:r>
        <w:t xml:space="preserve">E.5 数据销毁审批单</w:t>
      </w:r>
    </w:p>
    <w:tbl>
      <w:tblPr>
        <w:tblW w:w="5000" w:type="pct"/>
        <w:tblLayout w:type="autofit"/>
        <w:tblLook w:val="04A0" w:firstRow="1" w:lastRow="0" w:firstColumn="1" w:lastColumn="0" w:noHBand="0" w:noVBand="1"/>
      </w:tblPr>
      <w:tr>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项</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填写内容</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申请编号 / 日期</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销毁数据清单</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（数据域、表/文件清单、时间范围、数据量）</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数据密级</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销毁理由</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□超出保留期 □保密要求 □系统下线 □其他：____</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销毁方式</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（在线库/达梦归档库/备份介质三处副本的处置方式）</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下游依赖核查</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（依据血缘，数据管理办公室填写）</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保密办审批</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签字/日期</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领导小组审批</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签字/日期</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执行记录</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执行人/执行时间</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监销记录</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监销人（两名）签字/日期</w:t>
            </w:r>
          </w:p>
        </w:tc>
      </w:tr>
    </w:tbl>
    <w:p/>
    <w:p>
      <w:pPr>
        <w:pStyle w:val="Heading2"/>
      </w:pPr>
      <w:r>
        <w:t xml:space="preserve">E.6 数据销毁台账（登记项）</w:t>
      </w:r>
    </w:p>
    <w:p>
      <w:r>
        <w:t xml:space="preserve">销毁台账按批次登记以下要素，长期保存：台账编号、审批单编号、数据清单摘要、密级、销毁方式、三处副本处置确认（在线库/达梦归档库/备份介质）、执行人、执行时间、监销人、备注。</w:t>
      </w:r>
    </w:p>
    <w:p>
      <w:pPr>
        <w:pStyle w:val="Heading1"/>
        <w:pageBreakBefore/>
      </w:pPr>
      <w:r>
        <w:t xml:space="preserve">附录F 指标卡样例</w:t>
      </w:r>
    </w:p>
    <w:p>
      <w:r>
        <w:t xml:space="preserve">以下三张指标卡摘自已冻结口径的项目管控域指标字典，作为指标登记的格式范例；全量 77 项清单见附录H。</w:t>
      </w:r>
    </w:p>
    <w:p>
      <w:pPr>
        <w:pStyle w:val="Heading2"/>
      </w:pPr>
      <w:r>
        <w:t xml:space="preserve">F.1 异常节点数（pjm_prog_abnormal_cnt）</w:t>
      </w:r>
    </w:p>
    <w:tbl>
      <w:tblPr>
        <w:tblW w:w="5000" w:type="pct"/>
        <w:tblLayout w:type="autofit"/>
        <w:tblLook w:val="04A0" w:firstRow="1" w:lastRow="0" w:firstColumn="1" w:lastColumn="0" w:noHBand="0" w:noVBand="1"/>
      </w:tblPr>
      <w:tr>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项</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内容</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业务定义</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处于异常状态（不正常待变更 + 超期未完成未变更）的节点数</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计算公式</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完成情况 ∈（不正常待变更，超期未完成未变更）的节点计数</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统计范围</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受顶部时间筛选器控制，不含一般节点</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单位</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个</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评价方向</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越低越好</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阈值</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无</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数据来源</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进度信息汇总表</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更新频率</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每日刷新</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历史别名</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异常</w:t>
            </w:r>
          </w:p>
        </w:tc>
      </w:tr>
    </w:tbl>
    <w:p/>
    <w:p>
      <w:pPr>
        <w:pStyle w:val="Heading2"/>
      </w:pPr>
      <w:r>
        <w:t xml:space="preserve">F.2 节点不正常率（pjm_prog_abnormal_rate）</w:t>
      </w:r>
    </w:p>
    <w:tbl>
      <w:tblPr>
        <w:tblW w:w="5000" w:type="pct"/>
        <w:tblLayout w:type="autofit"/>
        <w:tblLook w:val="04A0" w:firstRow="1" w:lastRow="0" w:firstColumn="1" w:lastColumn="0" w:noHBand="0" w:noVBand="1"/>
      </w:tblPr>
      <w:tr>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项</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内容</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业务定义</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已到时间节点中，处于危险状态但尚未走变更流程的节点占比</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计算公式</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（不正常待变更 + 超期未完成未变更）÷ 已到时间节点数 × 100%</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统计范围</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不含一般节点</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单位</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评价方向</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越低越好</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阈值</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关注线 ≥20.0%；预警线 ≥30.0%</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数据来源</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进度信息汇总表</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更新频率</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每日刷新</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历史别名</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异常率、不正常率</w:t>
            </w:r>
          </w:p>
        </w:tc>
      </w:tr>
    </w:tbl>
    <w:p/>
    <w:p>
      <w:pPr>
        <w:pStyle w:val="Heading2"/>
      </w:pPr>
      <w:r>
        <w:t xml:space="preserve">F.3 节点完成百分比（pjm_prog_completion_rate）</w:t>
      </w:r>
    </w:p>
    <w:tbl>
      <w:tblPr>
        <w:tblW w:w="5000" w:type="pct"/>
        <w:tblLayout w:type="autofit"/>
        <w:tblLook w:val="04A0" w:firstRow="1" w:lastRow="0" w:firstColumn="1" w:lastColumn="0" w:noHBand="0" w:noVBand="1"/>
      </w:tblPr>
      <w:tr>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项</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内容</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业务定义</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周期内已到时间的节点中，已完成节点的占比（含周期外完成）</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计算公式</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（按时完成 + 超期完成 + 周期外完成）÷（已到时间节点数 + 周期外完成）× 100%</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统计范围</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已到时间节点 = 周期内总节点 − 正常待完成节点</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单位</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评价方向</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越高越好</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阈值</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关注线 ≤85.0%；预警线 ≤75.0%</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数据来源</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进度信息汇总表</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更新频率</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每日刷新</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历史别名</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项目完成率、整体完成率、完成率</w:t>
            </w:r>
          </w:p>
        </w:tc>
      </w:tr>
    </w:tbl>
    <w:p/>
    <w:p>
      <w:pPr>
        <w:pStyle w:val="Heading1"/>
        <w:pageBreakBefore/>
      </w:pPr>
      <w:r>
        <w:t xml:space="preserve">附录G 数据模型明细（落地版）</w:t>
      </w:r>
    </w:p>
    <w:p>
      <w:r>
        <w:t xml:space="preserve">本附录列出数据管理平台</w:t>
      </w:r>
      <w:r>
        <w:rPr>
          <w:b/>
          <w:bCs/>
        </w:rPr>
        <w:t xml:space="preserve">已落地</w:t>
      </w:r>
      <w:r>
        <w:t xml:space="preserve">的分层数据模型清单与核心表结构，是第6章分层规则的实证：每个模型的层级、形态与职责均按分层红线设计并经评审登记。模型清单随平台迭代由数据管理办公室维护，本清单为编制时点快照。</w:t>
      </w:r>
    </w:p>
    <w:p>
      <w:pPr>
        <w:pStyle w:val="Heading2"/>
      </w:pPr>
      <w:r>
        <w:t xml:space="preserve">G.1 项目管控域模型清单（43个）</w:t>
      </w:r>
    </w:p>
    <w:p>
      <w:r>
        <w:rPr>
          <w:b/>
          <w:bCs/>
        </w:rPr>
        <w:t xml:space="preserve">（1）结构化层（5个视图）</w:t>
      </w:r>
      <w:r>
        <w:t xml:space="preserve">：与贴源层一一对应，只做类型收敛。</w:t>
      </w:r>
    </w:p>
    <w:tbl>
      <w:tblPr>
        <w:tblW w:w="5000" w:type="pct"/>
        <w:tblLayout w:type="autofit"/>
        <w:tblLook w:val="04A0" w:firstRow="1" w:lastRow="0" w:firstColumn="1" w:lastColumn="0" w:noHBand="0" w:noVBand="1"/>
      </w:tblPr>
      <w:tr>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模型名</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形态</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职责说明</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stg_pm__project_subject_domain_v2</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视图</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进度 结构化层：类型转换+占位符收敛+字段改名，业务派生下沉 明细层</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stg_pm__quality_issue_v2</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视图</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质量 结构化层：类型转换+占位符收敛，归一化与派生下沉 明细层</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stg_pm__tech_state_v2</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视图</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技术状态 结构化层：类型转换+占位符收敛，签署状态上下文判断与派生下沉 明细层</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stg_pm__risk_info_v2</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视图</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风险 结构化层：类型转换+占位符收敛，归一化与派生下沉 明细层</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stg_pm__budget_v2</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视图</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预算 结构化层：四金额 数值安全转换+占位符收敛，三本账派生下沉 明细层</w:t>
            </w:r>
          </w:p>
        </w:tc>
      </w:tr>
    </w:tbl>
    <w:p/>
    <w:p>
      <w:r>
        <w:rPr>
          <w:b/>
          <w:bCs/>
        </w:rPr>
        <w:t xml:space="preserve">（2）明细层——维度真值表（8个）</w:t>
      </w:r>
      <w:r>
        <w:t xml:space="preserve">：业务分类的唯一真值源（标准代码+中文标签+业务标记）。</w:t>
      </w:r>
    </w:p>
    <w:tbl>
      <w:tblPr>
        <w:tblW w:w="5000" w:type="pct"/>
        <w:tblLayout w:type="autofit"/>
        <w:tblLook w:val="04A0" w:firstRow="1" w:lastRow="0" w:firstColumn="1" w:lastColumn="0" w:noHBand="0" w:noVBand="1"/>
      </w:tblPr>
      <w:tr>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模型名</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形态</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职责说明</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dim_completion_status_v2</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物理表</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完成情况维度表（稳定标识+中文标签）</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dim_node_type_v2</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物理表</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节点类型维度表（稳定标识+中文标签）</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dim_risk_level_v2</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物理表</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风险等级维度表（稳定标识+中文标签）</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dim_quality_status_v2</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物理表</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质量归零状态维度表（稳定标识+中文标签）</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dim_change_category_v2</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物理表</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更改类别维度表（稳定标识+中文标签）</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dim_signature_status_v2</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物理表</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文件签署状态维度表（稳定标识+中文标签）</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dim_quality_category_v2</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物理表</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质量问题原因分类字典（稳定标识+中文标签）</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dim_risk_category_v2</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物理表</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风险类型字典（稳定标识+中文标签）</w:t>
            </w:r>
          </w:p>
        </w:tc>
      </w:tr>
    </w:tbl>
    <w:p/>
    <w:p>
      <w:r>
        <w:rPr>
          <w:b/>
          <w:bCs/>
        </w:rPr>
        <w:t xml:space="preserve">（3）明细层——别名对照表（10个）</w:t>
      </w:r>
      <w:r>
        <w:t xml:space="preserve">：各种写法归一为标准代码的受控对照。</w:t>
      </w:r>
    </w:p>
    <w:tbl>
      <w:tblPr>
        <w:tblW w:w="5000" w:type="pct"/>
        <w:tblLayout w:type="autofit"/>
        <w:tblLook w:val="04A0" w:firstRow="1" w:lastRow="0" w:firstColumn="1" w:lastColumn="0" w:noHBand="0" w:noVBand="1"/>
      </w:tblPr>
      <w:tr>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模型名</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形态</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职责说明</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dim_node_type_alias</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物理表</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节点类型别名表：一般/一般节点等→标准代码</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dim_risk_level_alias</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物理表</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风险等级别名表：高/高风险等→标准代码</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dim_risk_category_alias</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物理表</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风险分类别名表→标准代码（供应链/管理/资源统一归入进度风险）</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dim_risk_status_alias</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物理表</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风险状态别名表（仅收录已释放，未命中由明细层层默认归入未释放）</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dim_quality_category_alias</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物理表</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质量问题原因别名表→标准代码</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dim_quality_status_alias</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物理表</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质量归零状态别名表→标准代码</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dim_change_category_alias</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物理表</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更改类别别名表：罗马数字/阿拉伯数字/汉字等变体→I/II/III</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dim_boolean_alias</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物理表</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通用布尔别名表：Y/YES/TRUE/是等→是；否定值→否</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dim_reform_status_alias</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物理表</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整改状态别名表→标准代码</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dim_signature_status_alias</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物理表</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文件签署状态别名表（上下文相关）→标准代码</w:t>
            </w:r>
          </w:p>
        </w:tc>
      </w:tr>
    </w:tbl>
    <w:p/>
    <w:p>
      <w:r>
        <w:rPr>
          <w:b/>
          <w:bCs/>
        </w:rPr>
        <w:t xml:space="preserve">（4）明细层——事实表（5个）</w:t>
      </w:r>
      <w:r>
        <w:t xml:space="preserve">：业务解释落地层，承载口径。</w:t>
      </w:r>
    </w:p>
    <w:tbl>
      <w:tblPr>
        <w:tblW w:w="5000" w:type="pct"/>
        <w:tblLayout w:type="autofit"/>
        <w:tblLook w:val="04A0" w:firstRow="1" w:lastRow="0" w:firstColumn="1" w:lastColumn="0" w:noHBand="0" w:noVBand="1"/>
      </w:tblPr>
      <w:tr>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模型名</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形态</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职责说明</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biz_dwd_project_node_v2</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物理表</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进度节点事实表—从 结构化层 读取，完成情况/节点类型/风险等级标准化并派生日期口径</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biz_dwd_quality_issue_v2</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物理表</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质量问题事实表—归零状态+分类+计划标志</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biz_dwd_tech_state_v2</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物理表</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技术状态事实表—更改类别标准化+签署/整改状态</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biz_dwd_risk_info_v2</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物理表</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风险事实表—风险台账清洗+等级标准化+释放标志</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biz_dwd_budget_v2</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物理表</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预算事实表—三本账快照清洗，已执行=预付+账面+应付，派生剩余/超支</w:t>
            </w:r>
          </w:p>
        </w:tc>
      </w:tr>
    </w:tbl>
    <w:p/>
    <w:p>
      <w:r>
        <w:rPr>
          <w:b/>
          <w:bCs/>
        </w:rPr>
        <w:t xml:space="preserve">（5）汇总层（5个）</w:t>
      </w:r>
    </w:p>
    <w:tbl>
      <w:tblPr>
        <w:tblW w:w="5000" w:type="pct"/>
        <w:tblLayout w:type="autofit"/>
        <w:tblLook w:val="04A0" w:firstRow="1" w:lastRow="0" w:firstColumn="1" w:lastColumn="0" w:noHBand="0" w:noVBand="1"/>
      </w:tblPr>
      <w:tr>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模型名</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形态</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职责说明</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biz_dws_progress_monthly_v2</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物理表</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进度域月度汇总—按project×month聚合，对齐原始指标#1-33</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biz_dws_quality_monthly_v2</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物理表</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质量域月度汇总—按project×dept×month聚合，对齐原始指标#34-48</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biz_dws_tech_state_monthly_v2</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物理表</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技术状态域月度汇总—按project×dept×month聚合，对齐原始指标#49-67</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biz_dws_risk_monthly_v2</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物理表</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风险域月度汇总—按project×dept×month聚合</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biz_dws_budget_v2</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物理表</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预算域汇总（当前快照）—按project×research_lab聚合三本账金额</w:t>
            </w:r>
          </w:p>
        </w:tc>
      </w:tr>
    </w:tbl>
    <w:p/>
    <w:p>
      <w:r>
        <w:rPr>
          <w:b/>
          <w:bCs/>
        </w:rPr>
        <w:t xml:space="preserve">（6）应用层（10个）</w:t>
      </w:r>
      <w:r>
        <w:t xml:space="preserve">：看板直接消费的指标结果表。</w:t>
      </w:r>
    </w:p>
    <w:tbl>
      <w:tblPr>
        <w:tblW w:w="5000" w:type="pct"/>
        <w:tblLayout w:type="autofit"/>
        <w:tblLook w:val="04A0" w:firstRow="1" w:lastRow="0" w:firstColumn="1" w:lastColumn="0" w:noHBand="0" w:noVBand="1"/>
      </w:tblPr>
      <w:tr>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模型名</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形态</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职责说明</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biz_ads_progress_kpi_v2</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物理表</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进度域原始指标—33个指标月度聚合，含分子/分母</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biz_ads_quality_kpi_v2</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物理表</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质量域原始指标—15个指标月度聚合</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biz_ads_tech_state_kpi_v2</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物理表</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技术状态域原始指标—19个指标月度聚合</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biz_ads_risk_kpi_v2</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物理表</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风险域KPI—风险总数/高中低/释放率月度聚合</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biz_ads_progress_derived_v2</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物理表</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进度域二次指标—6个（按时完成率/超期率/异常率/里程碑率/高风险占比/健康分）</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biz_ads_quality_derived_v2</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物理表</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质量域二次指标—5个（归零率/现存率/计划提交率/设计类占比/健康分）</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biz_ads_tech_state_derived_v2</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物理表</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技术状态域二次指标—5个（签署率/整改率/I类占比/未签署率/健康分）</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biz_ads_composite_derived_v2</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物理表</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综合域二次指标—2个（项目综合健康度/风险预警指数）</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biz_ads_budget_kpi_v2</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物理表</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预算域原始指标—预算/预付/账面/应付/已执行/剩余/超支（快照单行）</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biz_ads_budget_derived_v2</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物理表</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预算域二次指标—5个（执行率/账面入账率/应付占比/剩余率/健康分）</w:t>
            </w:r>
          </w:p>
        </w:tc>
      </w:tr>
    </w:tbl>
    <w:p/>
    <w:p>
      <w:pPr>
        <w:pStyle w:val="Heading2"/>
      </w:pPr>
      <w:r>
        <w:t xml:space="preserve">G.2 财务域模型清单（24个）</w:t>
      </w:r>
    </w:p>
    <w:p>
      <w:r>
        <w:rPr>
          <w:b/>
          <w:bCs/>
        </w:rPr>
        <w:t xml:space="preserve">（1）结构化层（4个视图）</w:t>
      </w:r>
    </w:p>
    <w:tbl>
      <w:tblPr>
        <w:tblW w:w="5000" w:type="pct"/>
        <w:tblLayout w:type="autofit"/>
        <w:tblLook w:val="04A0" w:firstRow="1" w:lastRow="0" w:firstColumn="1" w:lastColumn="0" w:noHBand="0" w:noVBand="1"/>
      </w:tblPr>
      <w:tr>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模型名</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形态</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职责说明</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stg_fin__own_fund</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视图</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年度基金 结构化层：长表（年度×基金来源×基金类别），类型转换+占位符收敛</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stg_fin__project_fund</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视图</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项目经费 结构化层：类型转换+占位符收敛，周期字符串解析下沉 明细层</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stg_fin__aux_balance</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视图</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辅助余额 结构化层：类型转换+占位符收敛，费用分类派生下沉 明细层</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stg_fin__aux_balance_personal</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视图</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个人辅助余额 结构化层：类型转换+占位符收敛，借贷方向与科目类别下沉 明细层</w:t>
            </w:r>
          </w:p>
        </w:tc>
      </w:tr>
    </w:tbl>
    <w:p/>
    <w:p>
      <w:r>
        <w:rPr>
          <w:b/>
          <w:bCs/>
        </w:rPr>
        <w:t xml:space="preserve">（2）明细层——维度字典与映射表（8个）</w:t>
      </w:r>
    </w:p>
    <w:tbl>
      <w:tblPr>
        <w:tblW w:w="5000" w:type="pct"/>
        <w:tblLayout w:type="autofit"/>
        <w:tblLook w:val="04A0" w:firstRow="1" w:lastRow="0" w:firstColumn="1" w:lastColumn="0" w:noHBand="0" w:noVBand="1"/>
      </w:tblPr>
      <w:tr>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模型名</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形态</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职责说明</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dim_fund_source</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物理表</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基金来源维度字典（年初/预计增加/预计使用）</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dim_fund_category</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物理表</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基金类别维度字典（事业基金/职工福利基金/安全生产基金）</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dim_project_status</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物理表</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项目状态维度字典（在研/支出待处理/已完成待收款/已完成审计）</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dim_expense_category</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物理表</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辅助余额费用类别维度表</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dim_balance_direction</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物理表</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个人辅助余额借贷方向维度表</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dim_personal_subject_category</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物理表</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个人辅助余额科目类别维度表</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dim_expense_code_prefix</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物理表</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辅助余额科目编号前缀→费用类别映射表</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dim_personal_subject_code_prefix</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物理表</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个人辅助余额科目编号前缀→科目类别映射表</w:t>
            </w:r>
          </w:p>
        </w:tc>
      </w:tr>
    </w:tbl>
    <w:p/>
    <w:p>
      <w:r>
        <w:rPr>
          <w:b/>
          <w:bCs/>
        </w:rPr>
        <w:t xml:space="preserve">（3）明细层——事实表（4个）</w:t>
      </w:r>
    </w:p>
    <w:tbl>
      <w:tblPr>
        <w:tblW w:w="5000" w:type="pct"/>
        <w:tblLayout w:type="autofit"/>
        <w:tblLook w:val="04A0" w:firstRow="1" w:lastRow="0" w:firstColumn="1" w:lastColumn="0" w:noHBand="0" w:noVBand="1"/>
      </w:tblPr>
      <w:tr>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模型名</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形态</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职责说明</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biz_dwd_own_fund</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物理表</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年度基金事实表（长表）：按年度×基金来源×基金类别记录金额</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biz_dwd_project_fund</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物理表</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项目经费事实表：直接支出取自贴源层原值，含是否重大项目/项目状态/已收待收口径及可为负的剩余经费</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biz_dwd_aux_balance</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物理表</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辅助余额事实表：保留合同信息并补齐费用类别、合同标记和余额方向</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biz_dwd_aux_balance_personal</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物理表</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个人辅助余额事实表：补齐借贷方向、余额绝对值和科目类别</w:t>
            </w:r>
          </w:p>
        </w:tc>
      </w:tr>
    </w:tbl>
    <w:p/>
    <w:p>
      <w:r>
        <w:rPr>
          <w:b/>
          <w:bCs/>
        </w:rPr>
        <w:t xml:space="preserve">（4）汇总层（4个）与应用层（4个）</w:t>
      </w:r>
    </w:p>
    <w:tbl>
      <w:tblPr>
        <w:tblW w:w="5000" w:type="pct"/>
        <w:tblLayout w:type="autofit"/>
        <w:tblLook w:val="04A0" w:firstRow="1" w:lastRow="0" w:firstColumn="1" w:lastColumn="0" w:noHBand="0" w:noVBand="1"/>
      </w:tblPr>
      <w:tr>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模型名</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形态</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职责说明</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biz_dws_own_fund_yearly</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物理表</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年度基金汇总表：按年度×基金类别透视，派生year_end_balance、net_change_rate与同比增长率</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biz_dws_project_fund_summary</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物理表</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项目经费汇总表：多口径范围（全部/按重大项目/按项目状态），含已收/待收/剩余经费/超支金额并按项目去重计数</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biz_dws_aux_balance_by_dept</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物理表</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辅助余额部门汇总表：按部门聚合余额、合同数和科目数</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biz_dws_aux_balance_personal_by_dept</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物理表</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个人辅助余额部门汇总表：按部门聚合净余额、借方、贷方和人员规模</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biz_ads_own_fund_kpi</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物理表</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年度基金KPI：按年度×基金类别输出金额/年末余额/使用率/净变动率/同比增长率/告警等级</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biz_ads_project_fund_kpi</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物理表</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项目经费KPI：按口径范围×范围键输出金额/执行率/已收待收占比/剩余经费/超支金额，待收经费为唯一未收口径</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biz_ads_aux_balance_kpi</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物理表</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辅助余额指标表：输出余额总览、部门数、合同数和科目数</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biz_ads_aux_balance_personal_kpi</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物理表</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个人辅助余额指标表：输出净余额、借方贷方合计和人员规模</w:t>
            </w:r>
          </w:p>
        </w:tc>
      </w:tr>
    </w:tbl>
    <w:p/>
    <w:p>
      <w:pPr>
        <w:pStyle w:val="Heading2"/>
      </w:pPr>
      <w:r>
        <w:t xml:space="preserve">G.3 核心表结构示例</w:t>
      </w:r>
    </w:p>
    <w:p>
      <w:pPr>
        <w:pStyle w:val="Heading3"/>
      </w:pPr>
      <w:r>
        <w:t xml:space="preserve">G.3.1 融合项目主数据表（dim_project_master）</w:t>
      </w:r>
    </w:p>
    <w:p>
      <w:r>
        <w:t xml:space="preserve">项目主数据多源融合（第7章7.2）的落地载体，关键字段设计如下：</w:t>
      </w:r>
    </w:p>
    <w:tbl>
      <w:tblPr>
        <w:tblW w:w="5000" w:type="pct"/>
        <w:tblLayout w:type="autofit"/>
        <w:tblLook w:val="04A0" w:firstRow="1" w:lastRow="0" w:firstColumn="1" w:lastColumn="0" w:noHBand="0" w:noVBand="1"/>
      </w:tblPr>
      <w:tr>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字段</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含义</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融合设计要点</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project_uid</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项目统一标识（主键）</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平台生成，全局唯一，各域数据关联的锚点</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pmo_project_name</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台账项目名称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唯一约束，管控台账侧的权威名称</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pmo_project_alias</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项目别名</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收纳历史写法与简称，支撑别名归一</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project_manager_id / project_manager</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项目主管（标识+姓名）</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关联人员主数据</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responsible_dept_id / responsible_dept</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责任科室（标识+名称）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关联科室主数据</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erp_pk_project / erp_project_code / erp_project_name</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ERP 侧项目主键/编码/名称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与 ERP 的映射落点；未来 PLM/QMS 标识按同法扩展</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estimate_mny</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估算金额</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财务视角基础属性</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plan_start_date / plan_finish_date</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计划起止日期</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data_source</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数据来源（台账/ERP/双源）</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标记该项目的来源覆盖情况</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is_verified</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是否人工确认</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自动匹配结果必须人工确认后方可用于正式报表（第7章7.2）</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is_active</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是否有效</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停用不删除</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create_time / update_time</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创建/更新时间</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审计字段</w:t>
            </w:r>
          </w:p>
        </w:tc>
      </w:tr>
    </w:tbl>
    <w:p/>
    <w:p>
      <w:pPr>
        <w:pStyle w:val="Heading3"/>
      </w:pPr>
      <w:r>
        <w:t xml:space="preserve">G.3.2 填报模板到贴源层的字段映射示例（进度跟进措施表）</w:t>
      </w:r>
    </w:p>
    <w:p>
      <w:r>
        <w:t xml:space="preserve">每张填报模板都有一份"模板列 → 贴源层字段"映射登记，作为血缘链路的第一环。以进度跟进措施表为例（23列）：</w:t>
      </w:r>
    </w:p>
    <w:tbl>
      <w:tblPr>
        <w:tblW w:w="5000" w:type="pct"/>
        <w:tblLayout w:type="autofit"/>
        <w:tblLook w:val="04A0" w:firstRow="1" w:lastRow="0" w:firstColumn="1" w:lastColumn="0" w:noHBand="0" w:noVBand="1"/>
      </w:tblPr>
      <w:tr>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模板列</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贴源层字段</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模板列</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贴源层字段</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项目编号（下拉）</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project_no</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跟进时间</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follow_up_date</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分系统/分任务</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subsystem</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跟进周数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follow_up_week</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节点任务及目标</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node_task</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闭环状态（下拉）</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closure_status</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节点计划时间</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plan_date</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最终闭环时间</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final_closure_date</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节点计划周数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plan_week</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最终闭环周数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final_closure_week</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完成情况（下拉）</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completion_status</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闭环交付物类别（下拉）</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closure_deliverable_type</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跟进措施类别（下拉）</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measure_category</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闭环交付物</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closure_deliverable</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跟进措施题目</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measure_title</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主要风险内容</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risk_content</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跟进人</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follow_up_person</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最后更新时间</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last_update_time</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主送</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main_recipient</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最后更新周数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last_update_week</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抄送</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cc_recipient</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备注</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remark</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填写人</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filled_by</w:t>
            </w:r>
          </w:p>
        </w:tc>
      </w:tr>
    </w:tbl>
    <w:p/>
    <w:p>
      <w:r>
        <w:t xml:space="preserve">贴源层字段一律先按文本落地（保留原样），类型转换在结构化层完成——填错格式的数据不会丢失，而是留痕并进入质量整改（第10章）。</w:t>
      </w:r>
    </w:p>
    <w:p>
      <w:pPr>
        <w:pStyle w:val="Heading3"/>
      </w:pPr>
      <w:r>
        <w:t xml:space="preserve">G.3.3 预算域口径落地示例（三本账）</w:t>
      </w:r>
    </w:p>
    <w:p>
      <w:r>
        <w:t xml:space="preserve">财务域"预算三本账"的口径落地展示了"指标定义先于实现"原则：</w:t>
      </w:r>
    </w:p>
    <w:p>
      <w:pPr>
        <w:ind w:left="420" w:hanging="220"/>
        <w:spacing w:before="40" w:after="40"/>
      </w:pPr>
      <w:r>
        <w:t xml:space="preserve">• </w:t>
      </w:r>
      <w:r>
        <w:t xml:space="preserve">事实表 biz_dwd_budget_v2 按"项目 × 研究室 × 子课题"粒度记录预算、预付账款、账面成本、应付账款四项金额；</w:t>
      </w:r>
    </w:p>
    <w:p>
      <w:pPr>
        <w:ind w:left="420" w:hanging="220"/>
        <w:spacing w:before="40" w:after="40"/>
      </w:pPr>
      <w:r>
        <w:t xml:space="preserve">• </w:t>
      </w:r>
      <w:r>
        <w:t xml:space="preserve">冻结口径 </w:t>
      </w:r>
      <w:r>
        <w:rPr>
          <w:b/>
          <w:bCs/>
        </w:rPr>
        <w:t xml:space="preserve">已执行 = 预付账款 + 账面成本 + 应付账款</w:t>
      </w:r>
      <w:r>
        <w:t xml:space="preserve"> 在明细层一次性派生（同时派生剩余、超支），下游汇总层与应用层直接引用，任何看板不得另算；</w:t>
      </w:r>
    </w:p>
    <w:p>
      <w:pPr>
        <w:ind w:left="420" w:hanging="220"/>
        <w:spacing w:before="40" w:after="40"/>
      </w:pPr>
      <w:r>
        <w:t xml:space="preserve">• </w:t>
      </w:r>
      <w:r>
        <w:t xml:space="preserve">预算台账为时点快照（无业务日期），故其汇总与指标反映"当前"状态、不带月度时间轴，看板顶部时间筛选对预算板块不生效——这一口径边界已写入指标说明。</w:t>
      </w:r>
    </w:p>
    <w:p>
      <w:pPr>
        <w:pStyle w:val="Heading2"/>
      </w:pPr>
      <w:r>
        <w:t xml:space="preserve">G.4 源表全景与更新策略</w:t>
      </w:r>
    </w:p>
    <w:p>
      <w:pPr>
        <w:pStyle w:val="Heading3"/>
      </w:pPr>
      <w:r>
        <w:t xml:space="preserve">G.4.1 贴源层源表清单（45张）</w:t>
      </w:r>
    </w:p>
    <w:tbl>
      <w:tblPr>
        <w:tblW w:w="5000" w:type="pct"/>
        <w:tblLayout w:type="autofit"/>
        <w:tblLook w:val="04A0" w:firstRow="1" w:lastRow="0" w:firstColumn="1" w:lastColumn="0" w:noHBand="0" w:noVBand="1"/>
      </w:tblPr>
      <w:tr>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数据类别</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接入方式</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表数</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更新频率</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更新策略</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ERP 项目结构</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在线同步</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3</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全量/日、增量/时</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覆盖、追加+更新</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ERP 基础数据（物料/分类/供应商/仓库）</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在线同步</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4</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全量/日</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覆盖</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ERP 采购数据（请购/订单/合同/到货/入库）</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在线同步</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10</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增量/10分钟</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追加</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ERP 库存数据（现存量/出入库/期初/流水）</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在线同步</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13</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增量/10分钟</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追加/覆盖</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项目管控数据（进度/质量/风险/技术状态/物资/主题域）</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文件导入</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9</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月/按批次</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追加（保留历史）</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考勤数据</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文件导入</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1</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日/周</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追加</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专利数据</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文件导入</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1</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季度/年</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追加</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财务数据（自有资金/项目经费/辅助余额/个人余额）</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文件导入</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4</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月/季度</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追加</w:t>
            </w:r>
          </w:p>
        </w:tc>
      </w:tr>
    </w:tbl>
    <w:p/>
    <w:p>
      <w:pPr>
        <w:pStyle w:val="Heading3"/>
      </w:pPr>
      <w:r>
        <w:t xml:space="preserve">G.4.2 各数据域更新策略</w:t>
      </w:r>
    </w:p>
    <w:tbl>
      <w:tblPr>
        <w:tblW w:w="5000" w:type="pct"/>
        <w:tblLayout w:type="autofit"/>
        <w:tblLook w:val="04A0" w:firstRow="1" w:lastRow="0" w:firstColumn="1" w:lastColumn="0" w:noHBand="0" w:noVBand="1"/>
      </w:tblPr>
      <w:tr>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数据域</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更新方式</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业务主键</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历史保留</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进度</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覆盖更新/按批次重算</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节点标识 / 来源行标识</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贴源层全留，明细层可重算</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质量</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覆盖更新/按批次重算</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问题标识 / 来源行标识</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同上</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风险</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覆盖更新/按批次重算</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风险标识 / 来源行标识</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同上</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技术变更</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覆盖更新/按批次重算</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变更标识 / 来源行标识</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同上</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采购</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追加新增</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单据号</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全量保留</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库存现存量</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每日覆盖</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物料 + 仓库</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每日快照</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考勤</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覆盖更新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人员 + 日期</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汇总层保留</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专利</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覆盖更新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专利号</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维度同步更新</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财务余额</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覆盖更新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科目 + 部门 + 月份</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同周期覆盖</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预算</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快照覆盖</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预算编号（全局唯一）</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当前快照</w:t>
            </w:r>
          </w:p>
        </w:tc>
      </w:tr>
    </w:tbl>
    <w:p/>
    <w:p>
      <w:pPr>
        <w:pStyle w:val="Heading1"/>
        <w:pageBreakBefore/>
      </w:pPr>
      <w:r>
        <w:t xml:space="preserve">附录H 指标字典（全量77项，口径冻结版）</w:t>
      </w:r>
    </w:p>
    <w:p>
      <w:r>
        <w:t xml:space="preserve">本附录为已冻结口径的指标字典全量清单（冻结日期 2026-05-18），与看板指标口径说明完全一致。指标按业务主题分组；"方向"指评价方向；阈值为空表示暂不设线。指标变更须走第8章流程，本清单随字典版本同步更新。</w:t>
      </w:r>
    </w:p>
    <w:p>
      <w:pPr>
        <w:pStyle w:val="Heading2"/>
      </w:pPr>
      <w:r>
        <w:t xml:space="preserve">H.1 进度域（17项）</w:t>
      </w:r>
    </w:p>
    <w:tbl>
      <w:tblPr>
        <w:tblW w:w="5000" w:type="pct"/>
        <w:tblLayout w:type="autofit"/>
        <w:tblLook w:val="04A0" w:firstRow="1" w:lastRow="0" w:firstColumn="1" w:lastColumn="0" w:noHBand="0" w:noVBand="1"/>
      </w:tblPr>
      <w:tr>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指标编码</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指标名称</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单位</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方向</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计算公式</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阈值</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pjm_prog_total_nodes</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项目本周期节点总数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个</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中性</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节点计划时间在[开始日期,结束日期]内的节点计数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无</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pjm_prog_completion_rate</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节点完成百分比</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越高越好</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(按时完成节点数 + 超期完成节点数 + 周期外完成节点数) ÷ (已到时间节点数 + 周期外完成节点数) × 100%</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关注≤85.0；预警≤75.0</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pjm_prog_on_time_rate</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节点按时完成率</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越高越好</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按时完成节点数 ÷ (已到时间节点数 + 周期外完成节点数) × 100%</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关注≤80.0；预警≤70.0</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pjm_prog_overdue_rate</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节点超期率</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越低越好</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(超期未完成未变更 + 超期未完成已变更) ÷ 已到时间节点数 × 100%</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关注≥15.0；预警≥25.0</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pjm_prog_abnormal_rate</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节点不正常率</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越低越好</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(不正常待变更 + 超期未完成未变更) ÷ 已到时间节点数 × 100%</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关注≥20.0；预警≥30.0</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pjm_prog_overdue_completion_rate</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超期完成率</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越低越好</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(超期完成节点数 + 周期外完成节点数) ÷ (周期内节点总数 + 周期外完成节点数) × 100%</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关注≥10.0；预警≥20.0</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pjm_prog_incomplete_cnt</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项目本周期节点未完成总数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个</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越低越好</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状态为'不正常待变更'+'超期未完成未变更'+'超期未完成已变更'的节点计数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无</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pjm_prog_overdue_cnt</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超期任务数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个</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越低越好</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(超期未完成未变更 + 超期未完成已变更) 的节点计数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无</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pjm_prog_milestone_completion_rate</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里程碑节点完成总百分比</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越高越好</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(里程碑按时完成数 + 里程碑超期完成数) ÷ (未完成里程碑数 + 里程碑按时完成数 + 里程碑超期完成数) × 100%</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关注≤90.0；预警≤80.0</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pjm_prog_milestone_on_time_rate</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里程碑节点按时完成率</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越高越好</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里程碑按时完成数 ÷ 里程碑节点总数 × 100%</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关注≤90.0；预警≤80.0</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pjm_prog_high_risk_incomplete</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截止目前未完成高风险节点数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个</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越低越好</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风险等级='高' 且 状态∈('不正常待变更','超期未完成未变更','超期未完成已变更') 的节点计数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无</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pjm_prog_health_score</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进度健康度评分</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分</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越高越好</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节点按时完成率 × 40% + 里程碑按时完成率 × 30% + (100 − 节点不正常率) × 30%</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关注≤80.0；预警≤70.0</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pjm_prog_on_time_cnt</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按时完成节点数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个</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越高越好</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完成情况='按时完成' 的节点计数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无</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pjm_prog_overdue_done_cnt</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超期完成节点数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个</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越低越好</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完成情况∈('超期已完成已变更','超期已完成未变更') 的节点计数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无</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pjm_prog_pending_normal_cnt</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正常待完成节点数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个</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中性</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完成情况='正常待完成' 的节点计数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无</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pjm_prog_abnormal_cnt</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异常节点数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个</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越低越好</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完成情况∈('不正常待变更','超期未完成未变更') 的节点计数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无</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pjm_prog_delay_days</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延期天数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天</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越低越好</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实际完成时间 − 计划完成时间(单位:天);未完成节点取 (统计结束时间 − 计划完成时间)</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无</w:t>
            </w:r>
          </w:p>
        </w:tc>
      </w:tr>
    </w:tbl>
    <w:p/>
    <w:p>
      <w:pPr>
        <w:pStyle w:val="Heading2"/>
      </w:pPr>
      <w:r>
        <w:t xml:space="preserve">H.2 质量域（21项）</w:t>
      </w:r>
    </w:p>
    <w:tbl>
      <w:tblPr>
        <w:tblW w:w="5000" w:type="pct"/>
        <w:tblLayout w:type="autofit"/>
        <w:tblLook w:val="04A0" w:firstRow="1" w:lastRow="0" w:firstColumn="1" w:lastColumn="0" w:noHBand="0" w:noVBand="1"/>
      </w:tblPr>
      <w:tr>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指标编码</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指标名称</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单位</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方向</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计算公式</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阈值</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pjm_qual_new_issues</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新增质量问题数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个</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越低越好</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质量问题发生时间在[开始日期,结束日期]内的问题计数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无</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pjm_qual_open_issues</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现存质量问题数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个</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越低越好</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状态='未完成归零' 的质量问题计数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无</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pjm_qual_zero_completed</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已完成归零数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个</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越高越好</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已完成技术归零 + 已完成管理归零 + 已完成技术和管理归零</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无</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pjm_qual_zero_rate</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质量问题归零率</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越高越好</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已完成归零数 ÷ 新增质量问题数 × 100%</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关注≤60.0；预警≤50.0</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pjm_qual_remaining_ratio</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现存质量问题比率</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越低越好</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现存质量问题数 ÷ 新增质量问题数 × 100%</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关注≥50.0；预警≥80.0</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pjm_qual_plan_submit_rate</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归零计划提交率</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越高越好</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(新增质量问题数 − 未提交归零计划数) ÷ 新增质量问题数 × 100%</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关注≤80.0；预警≤60.0</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pjm_qual_top1_count</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TOP1 质量问题分类数量</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个</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越低越好</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MAX(各原因分类的现存问题数),含设计/工艺/管理/元器件/操作/外协外购/软件/其他</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无</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pjm_qual_health_score</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质量健康度评分</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分</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越高越好</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归零率 × 50% + 归零计划提交率 × 30% + (100 − 现存率) × 20%</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关注≤80.0；预警≤70.0</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pjm_qual_tech_zero</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已完成技术归零数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个</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越高越好</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状态='已完成技术归零' 的质量问题计数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无</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pjm_qual_mgmt_zero</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已完成管理归零数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个</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越高越好</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状态='已完成管理归零' 的质量问题计数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无</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pjm_qual_both_zero</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已完成技术和管理归零数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个</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越高越好</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状态='已完成技术和管理归零' 的质量问题计数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无</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pjm_qual_no_plan</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未提交归零计划数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个</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越低越好</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归零计划='无' 的质量问题计数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无</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pjm_qual_cat_design</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设计类质量问题数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个</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越低越好</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状态='未完成归零' 且 原因分类='设计' 的质量问题计数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关注≥40.0</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pjm_qual_cat_process</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工艺类质量问题数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个</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越低越好</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状态='未完成归零' 且 原因分类='工艺' 的质量问题计数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无</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pjm_qual_cat_management</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管理类质量问题数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个</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越低越好</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状态='未完成归零' 且 原因分类='管理' 的质量问题计数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无</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pjm_qual_cat_component</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元器件类质量问题数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个</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越低越好</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状态='未完成归零' 且 原因分类='元器件' 的质量问题计数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无</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pjm_qual_cat_operation</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操作类质量问题数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个</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越低越好</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状态='未完成归零' 且 原因分类='操作' 的质量问题计数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无</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pjm_qual_cat_outsource</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外协外购类质量问题数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个</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越低越好</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状态='未完成归零' 且 原因分类='外协外购' 的质量问题计数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无</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pjm_qual_cat_software</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软件类质量问题数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个</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越低越好</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状态='未完成归零' 且 原因分类='软件' 的质量问题计数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无</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pjm_qual_cat_other</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其他类质量问题数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个</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中性</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状态='未完成归零' 且 原因分类='其他' 的质量问题计数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无</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pjm_qual_aging_days</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滞留天数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天</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越低越好</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未归零: 当前日期 − 问题发生日期; 已归零: 归零完成日期 − 问题发生日期</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关注≥30.0；预警≥60.0</w:t>
            </w:r>
          </w:p>
        </w:tc>
      </w:tr>
    </w:tbl>
    <w:p/>
    <w:p>
      <w:pPr>
        <w:pStyle w:val="Heading2"/>
      </w:pPr>
      <w:r>
        <w:t xml:space="preserve">H.3 风险域（7项）</w:t>
      </w:r>
    </w:p>
    <w:tbl>
      <w:tblPr>
        <w:tblW w:w="5000" w:type="pct"/>
        <w:tblLayout w:type="autofit"/>
        <w:tblLook w:val="04A0" w:firstRow="1" w:lastRow="0" w:firstColumn="1" w:lastColumn="0" w:noHBand="0" w:noVBand="1"/>
      </w:tblPr>
      <w:tr>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指标编码</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指标名称</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单位</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方向</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计算公式</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阈值</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pjm_risk_total</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风险总数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个</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越低越好</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风险提出时间在[开始日期,结束日期]内的风险计数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无</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pjm_risk_high</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高风险数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个</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越低越好</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风险等级='高' 的风险计数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无</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pjm_risk_mid</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中风险数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个</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越低越好</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风险等级='中' 的风险计数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无</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pjm_risk_low</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低风险数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个</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越低越好</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风险等级='低' 的风险计数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无</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pjm_risk_open</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未释放风险数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个</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越低越好</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风险状态='未释放' 的风险计数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无</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pjm_risk_release_rate</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风险释放率</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越高越好</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已释放风险数 ÷ 风险总数 × 100%</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关注≤60.0；预警≤50.0</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pjm_risk_released</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已释放风险数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个</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越高越好</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风险状态='已释放' 的风险计数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无</w:t>
            </w:r>
          </w:p>
        </w:tc>
      </w:tr>
    </w:tbl>
    <w:p/>
    <w:p>
      <w:pPr>
        <w:pStyle w:val="Heading2"/>
      </w:pPr>
      <w:r>
        <w:t xml:space="preserve">H.4 技术状态域（12项）</w:t>
      </w:r>
    </w:p>
    <w:tbl>
      <w:tblPr>
        <w:tblW w:w="5000" w:type="pct"/>
        <w:tblLayout w:type="autofit"/>
        <w:tblLook w:val="04A0" w:firstRow="1" w:lastRow="0" w:firstColumn="1" w:lastColumn="0" w:noHBand="0" w:noVBand="1"/>
      </w:tblPr>
      <w:tr>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指标编码</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指标名称</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单位</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方向</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计算公式</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阈值</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pjm_tech_total_changes</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技术状态变更单总数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个</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中性</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新增 I 类更改 + 新增 II 类更改 + 新增 III 类更改</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无</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pjm_tech_reform_pending_i_ii</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未落实整改(I, II类)</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个</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越低越好</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更改类别∈(I, II) 且 整改落实状态='未落实整改' 的变更单计数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无</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pjm_tech_unsigned_total</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技术状态变更单未完成签署(I, II, III类)</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个</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越低越好</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完成签署='否' 的变更单计数 = I 类未签 + II 类未签 + III 类未签</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无</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pjm_tech_signature_rate</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技术状态变更单签署完成率</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越高越好</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已完成签署数 ÷ (已完成签署数 + 未完成签署 I+II+III) × 100%</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关注≤80.0；预警≤70.0</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pjm_tech_reform_rate</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整改落实完成率(I, II类)</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越高越好</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已落实整改(I,II类) ÷ (已落实整改 + 未落实整改) × 100%</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关注≤80.0；预警≤70.0</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pjm_tech_unsigned_ratio</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变更单未签署比率</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越低越好</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未完成签署(I+II+III) ÷ (I+II+III 类新增总数) × 100%</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关注≥20.0；预警≥35.0</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pjm_tech_health_score</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技术状态健康度评分</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分</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越高越好</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签署完成率 × 40% + 整改落实率 × 40% + (100 − 未签署比率) × 20%</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关注≤80.0；预警≤70.0</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pjm_tech_new_changes_i</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新增 I 类更改数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个</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越低越好</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更改类别='I' 且 更改提出时间在[开始,结束]内的更改计数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无</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pjm_tech_new_changes_ii</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新增 II 类更改数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个</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越低越好</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更改类别='II' 且 更改提出时间在[开始,结束]内的更改计数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无</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pjm_tech_new_changes_iii</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新增 III 类更改数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个</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中性</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更改类别='III' 且 更改提出时间在[开始,结束]内的更改计数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无</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pjm_tech_signed_total</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已完成签署变更单数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个</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越高越好</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完成签署='是' 的变更单计数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无</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pjm_tech_reform_done_i_ii</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已落实整改(I, II类)</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个</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越高越好</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更改类别∈(I, II) 且 整改落实状态='已落实整改' 的变更单计数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无</w:t>
            </w:r>
          </w:p>
        </w:tc>
      </w:tr>
    </w:tbl>
    <w:p/>
    <w:p>
      <w:pPr>
        <w:pStyle w:val="Heading2"/>
      </w:pPr>
      <w:r>
        <w:t xml:space="preserve">H.5 预算域（13项）</w:t>
      </w:r>
    </w:p>
    <w:tbl>
      <w:tblPr>
        <w:tblW w:w="5000" w:type="pct"/>
        <w:tblLayout w:type="autofit"/>
        <w:tblLook w:val="04A0" w:firstRow="1" w:lastRow="0" w:firstColumn="1" w:lastColumn="0" w:noHBand="0" w:noVBand="1"/>
      </w:tblPr>
      <w:tr>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指标编码</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指标名称</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单位</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方向</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计算公式</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阈值</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pjm_budg_total</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预算总额(调整后)</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万元</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中性</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Σ 预算金额(调整后)</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无</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pjm_budg_executed</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已执行金额</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万元</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中性</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预付账款 + 账面成本 + 应付账款</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无</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pjm_budg_book_cost</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账面成本</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万元</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中性</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Σ 账面成本(已验收有发票)</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无</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pjm_budg_prepaid</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预付账款</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万元</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中性</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Σ 预付账款(未验收未报销无发票)</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无</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pjm_budg_payable</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应付账款</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万元</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中性</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Σ 应付账款(有发票暂未付款)</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无</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pjm_budg_remaining</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预算剩余可用</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万元</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中性</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预算总额 − 已执行</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无</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pjm_budg_item_cnt</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预算条目数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个</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中性</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COUNT(预算明细行)</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无</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pjm_budg_execution_rate</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预算执行率</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中性</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已执行 ÷ 预算总额 × 100%</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关注≥90.0；预警≥100.0</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pjm_budg_book_rate</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账面入账率</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中性</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账面成本 ÷ 预算总额 × 100%</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无</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pjm_budg_payable_ratio</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应付占比</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越低越好</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应付账款 ÷ 已执行 × 100%</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关注≥30.0；预警≥50.0</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pjm_budg_overrun_amount</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超支金额</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万元</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越低越好</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Σ max(0, 单条已执行 − 单条预算)</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关注≥0.0；预警≥0.0</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pjm_budg_overrun_cnt</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超支条目数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个</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越低越好</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COUNT(单条已执行 &gt; 单条预算)</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关注≥0.0；预警≥0.0</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pjm_budg_health_score</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预算健康度评分</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分</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越高越好</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预算控制(无超支)×0.7 + 资金支付健康(应付占比低)×0.3</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关注≤70.0；预警≤50.0</w:t>
            </w:r>
          </w:p>
        </w:tc>
      </w:tr>
    </w:tbl>
    <w:p/>
    <w:p>
      <w:pPr>
        <w:pStyle w:val="Heading2"/>
      </w:pPr>
      <w:r>
        <w:t xml:space="preserve">H.6 采购域（1项）</w:t>
      </w:r>
    </w:p>
    <w:tbl>
      <w:tblPr>
        <w:tblW w:w="5000" w:type="pct"/>
        <w:tblLayout w:type="autofit"/>
        <w:tblLook w:val="04A0" w:firstRow="1" w:lastRow="0" w:firstColumn="1" w:lastColumn="0" w:noHBand="0" w:noVBand="1"/>
      </w:tblPr>
      <w:tr>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指标编码</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指标名称</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单位</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方向</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计算公式</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阈值</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pjm_procurement_by_dept</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物料采购(按科室)</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项</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中性</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待业务方提供口径</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无</w:t>
            </w:r>
          </w:p>
        </w:tc>
      </w:tr>
    </w:tbl>
    <w:p/>
    <w:p>
      <w:pPr>
        <w:pStyle w:val="Heading2"/>
      </w:pPr>
      <w:r>
        <w:t xml:space="preserve">H.7 综合域（6项）</w:t>
      </w:r>
    </w:p>
    <w:tbl>
      <w:tblPr>
        <w:tblW w:w="5000" w:type="pct"/>
        <w:tblLayout w:type="autofit"/>
        <w:tblLook w:val="04A0" w:firstRow="1" w:lastRow="0" w:firstColumn="1" w:lastColumn="0" w:noHBand="0" w:noVBand="1"/>
      </w:tblPr>
      <w:tr>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指标编码</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指标名称</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单位</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方向</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计算公式</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pPr>
              <w:spacing w:before="0" w:after="0"/>
            </w:pPr>
            <w:r>
              <w:rPr>
                <w:b/>
                <w:bCs/>
                <w:sz w:val="21"/>
                <w:szCs w:val="21"/>
              </w:rPr>
              <w:t xml:space="preserve">阈值</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pjm_project_total</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项目总数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个</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中性</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周期内出现过的不同项目编号去重计数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无</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pjm_project_active</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进行中项目</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个</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中性</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周期内未完成节点数 &gt; 0 的项目编号去重计数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无</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pjm_project_delay</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延期项目数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个</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越低越好</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周期内 (超期未完成未变更 + 超期未完成已变更) &gt; 0 的项目编号去重计数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无</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pjm_composite_health</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项目综合健康度</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分</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越高越好</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进度健康度 × 40% + 质量健康度 × 30% + 技术状态健康度 × 30%</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关注≤80.0；预警≤70.0</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pjm_risk_warning_index</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项目风险预警指数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点</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越低越好</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未完成里程碑数 × 3 + 高风险未完成节点数 × 2 + 超期未完成节点数 × 1</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关注≥10.0；预警≥20.0</w:t>
            </w:r>
          </w:p>
        </w:tc>
      </w:tr>
      <w:tr>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pjm_qual_count</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数量</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个</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中性</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COUNT(*) 或 SUM(...) — 按图表 SQL 分组键计数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pPr>
              <w:spacing w:before="0" w:after="0"/>
            </w:pPr>
            <w:r>
              <w:rPr>
                <w:sz w:val="21"/>
                <w:szCs w:val="21"/>
              </w:rPr>
              <w:t xml:space="preserve">无</w:t>
            </w:r>
          </w:p>
        </w:tc>
      </w:tr>
    </w:tbl>
    <w:p/>
    <w:p>
      <w:r>
        <w:t xml:space="preserve">（全文完）</w:t>
      </w:r>
    </w:p>
    <w:sectPr w:rsidR="000F00EB">
      <w:pgSz w:w="12240" w:h="15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E7B53C" w14:textId="77777777" w:rsidR="000F00EB" w:rsidRDefault="000F00EB" w:rsidP="00AF2559">
      <w:r>
        <w:separator/>
      </w:r>
    </w:p>
  </w:endnote>
  <w:endnote w:type="continuationSeparator" w:id="0">
    <w:p w14:paraId="1AE055AB" w14:textId="77777777" w:rsidR="000F00EB" w:rsidRDefault="000F00EB" w:rsidP="00AF25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等线 Light">
    <w:altName w:val="DengXian Light"/>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微软雅黑">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97227D" w14:textId="77777777" w:rsidR="000F00EB" w:rsidRDefault="000F00EB" w:rsidP="00AF2559">
      <w:r>
        <w:separator/>
      </w:r>
    </w:p>
  </w:footnote>
  <w:footnote w:type="continuationSeparator" w:id="0">
    <w:p w14:paraId="16540627" w14:textId="77777777" w:rsidR="000F00EB" w:rsidRDefault="000F00EB" w:rsidP="00AF255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updateFields w:val="true"/>
  <w:zoom w:percent="130"/>
  <w:defaultTabStop w:val="7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F2559"/>
    <w:rsid w:val="000F00EB"/>
    <w:rsid w:val="00AF2559"/>
    <w:rsid w:val="00C35D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F0F72FB"/>
  <w15:chartTrackingRefBased/>
  <w15:docId w15:val="{9A1391D9-71A9-4A86-8CE5-7D2ECDF82D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400" w:after="360"/>
      <w:jc w:val="center"/>
      <w:outlineLvl w:val="0"/>
    </w:pPr>
    <w:rPr>
      <w:b/>
      <w:bCs/>
      <w:kern w:val="36"/>
      <w:sz w:val="52"/>
      <w:szCs w:val="52"/>
    </w:rPr>
  </w:style>
  <w:style w:type="paragraph" w:styleId="Heading2">
    <w:name w:val="heading 2"/>
    <w:basedOn w:val="Normal"/>
    <w:link w:val="Heading2Char"/>
    <w:uiPriority w:val="9"/>
    <w:qFormat/>
    <w:pPr>
      <w:pBdr>
        <w:bottom w:val="single" w:sz="6" w:space="4" w:color="D1D5DB"/>
      </w:pBdr>
      <w:spacing w:before="400" w:after="100" w:afterAutospacing="1"/>
      <w:outlineLvl w:val="1"/>
    </w:pPr>
    <w:rPr>
      <w:b/>
      <w:bCs/>
      <w:sz w:val="34"/>
      <w:szCs w:val="34"/>
    </w:rPr>
  </w:style>
  <w:style w:type="paragraph" w:styleId="Heading3">
    <w:name w:val="heading 3"/>
    <w:basedOn w:val="Normal"/>
    <w:link w:val="Heading3Char"/>
    <w:uiPriority w:val="9"/>
    <w:qFormat/>
    <w:pPr>
      <w:spacing w:before="280" w:after="100" w:afterAutospacing="1"/>
      <w:outlineLvl w:val="2"/>
    </w:pPr>
    <w:rPr>
      <w:b/>
      <w:bCs/>
      <w:color w:val="111827"/>
      <w:sz w:val="26"/>
      <w:szCs w:val="26"/>
    </w:rPr>
  </w:style>
  <w:style w:type="paragraph" w:styleId="Heading4">
    <w:name w:val="heading 4"/>
    <w:basedOn w:val="Normal"/>
    <w:link w:val="Heading4Char"/>
    <w:uiPriority w:val="9"/>
    <w:qFormat/>
    <w:pPr>
      <w:spacing w:before="200" w:after="100" w:afterAutospacing="1"/>
      <w:outlineLvl w:val="3"/>
    </w:pPr>
    <w:rPr>
      <w:b/>
      <w:bCs/>
      <w:color w:val="111827"/>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nsolas" w:eastAsiaTheme="minorEastAsia" w:hAnsi="Consolas" w:cs="Courier New" w:hint="default"/>
      <w:sz w:val="20"/>
      <w:szCs w:val="20"/>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sz w:val="24"/>
      <w:szCs w:val="24"/>
    </w:rPr>
  </w:style>
  <w:style w:type="paragraph" w:styleId="HTMLPreformatted">
    <w:name w:val="HTML Preformatted"/>
    <w:basedOn w:val="Normal"/>
    <w:link w:val="HTMLPreformattedChar"/>
    <w:uiPriority w:val="99"/>
    <w:semiHidden/>
    <w:unhideWhenUsed/>
    <w:pPr>
      <w:pBdr>
        <w:top w:val="single" w:sz="6" w:space="8" w:color="D1D5DB"/>
        <w:left w:val="single" w:sz="6" w:space="8" w:color="D1D5DB"/>
        <w:bottom w:val="single" w:sz="6" w:space="8" w:color="D1D5DB"/>
        <w:right w:val="single" w:sz="6" w:space="8" w:color="D1D5DB"/>
      </w:pBdr>
      <w:shd w:val="clear" w:color="auto" w:fill="F3F4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hAnsi="Consolas" w:cs="Courier New"/>
      <w:sz w:val="16"/>
      <w:szCs w:val="16"/>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paragraph" w:customStyle="1" w:styleId="msonormal0">
    <w:name w:val="msonormal"/>
    <w:basedOn w:val="Normal"/>
    <w:pPr>
      <w:spacing w:before="120" w:after="120"/>
    </w:pPr>
    <w:rPr>
      <w:sz w:val="21"/>
      <w:szCs w:val="21"/>
    </w:rPr>
  </w:style>
  <w:style w:type="paragraph" w:styleId="NormalWeb">
    <w:name w:val="Normal (Web)"/>
    <w:basedOn w:val="Normal"/>
    <w:uiPriority w:val="99"/>
    <w:semiHidden/>
    <w:unhideWhenUsed/>
    <w:pPr>
      <w:spacing w:before="120" w:after="120"/>
    </w:pPr>
    <w:rPr>
      <w:sz w:val="21"/>
      <w:szCs w:val="21"/>
    </w:rPr>
  </w:style>
  <w:style w:type="paragraph" w:styleId="Header">
    <w:name w:val="header"/>
    <w:basedOn w:val="Normal"/>
    <w:link w:val="HeaderChar"/>
    <w:uiPriority w:val="99"/>
    <w:unhideWhenUsed/>
    <w:rsid w:val="00AF2559"/>
    <w:pPr>
      <w:tabs>
        <w:tab w:val="center" w:pos="4320"/>
        <w:tab w:val="right" w:pos="8640"/>
      </w:tabs>
    </w:pPr>
  </w:style>
  <w:style w:type="character" w:customStyle="1" w:styleId="HeaderChar">
    <w:name w:val="Header Char"/>
    <w:basedOn w:val="DefaultParagraphFont"/>
    <w:link w:val="Header"/>
    <w:uiPriority w:val="99"/>
    <w:rsid w:val="00AF2559"/>
    <w:rPr>
      <w:rFonts w:eastAsiaTheme="minorEastAsia"/>
      <w:sz w:val="24"/>
      <w:szCs w:val="24"/>
    </w:rPr>
  </w:style>
  <w:style w:type="paragraph" w:styleId="Footer">
    <w:name w:val="footer"/>
    <w:basedOn w:val="Normal"/>
    <w:link w:val="FooterChar"/>
    <w:uiPriority w:val="99"/>
    <w:unhideWhenUsed/>
    <w:rsid w:val="00AF2559"/>
    <w:pPr>
      <w:tabs>
        <w:tab w:val="center" w:pos="4320"/>
        <w:tab w:val="right" w:pos="8640"/>
      </w:tabs>
    </w:pPr>
  </w:style>
  <w:style w:type="character" w:customStyle="1" w:styleId="FooterChar">
    <w:name w:val="Footer Char"/>
    <w:basedOn w:val="DefaultParagraphFont"/>
    <w:link w:val="Footer"/>
    <w:uiPriority w:val="99"/>
    <w:rsid w:val="00AF2559"/>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114</Pages>
  <Words>28650</Words>
  <Characters>121754</Characters>
  <Application>Microsoft Office Word</Application>
  <DocSecurity>4</DocSecurity>
  <Lines>5524</Lines>
  <Paragraphs>4859</Paragraphs>
  <ScaleCrop>false</ScaleCrop>
  <Company/>
  <LinksUpToDate>false</LinksUpToDate>
  <CharactersWithSpaces>132644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???????????????v4 PostgreSQL ????</dc:title>
  <dc:subject/>
  <dc:creator>billy</dc:creator>
  <cp:keywords/>
  <dc:description/>
  <cp:lastModifiedBy>billy</cp:lastModifiedBy>
  <cp:revision>2</cp:revision>
  <dcterms:created xsi:type="dcterms:W3CDTF">2026-05-27T07:55:00Z</dcterms:created>
  <dcterms:modified xsi:type="dcterms:W3CDTF">2026-05-27T07:55:00Z</dcterms:modified>
</cp:coreProperties>
</file>