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Heading1"/>
        <w:bidi w:val="0"/>
        <w:spacing w:before="360" w:after="160"/>
        <w:rPr/>
      </w:pPr>
      <w:r>
        <w:rPr/>
        <w:t xml:space="preserve">DTS v2.2.3 </w:t>
      </w:r>
      <w:r>
        <w:rPr/>
        <w:t>周报</w:t>
      </w:r>
    </w:p>
    <w:p>
      <w:pPr>
        <w:pStyle w:val="BodyTextsubtitle"/>
        <w:bidi w:val="0"/>
        <w:rPr/>
      </w:pPr>
      <w:r>
        <w:rPr/>
        <w:t>数据建模、数据指标、元数据、数据资产及主数据工作汇总</w:t>
      </w:r>
    </w:p>
    <w:tbl>
      <w:tblPr>
        <w:tblW w:w="5000" w:type="pct"/>
        <w:jc w:val="start"/>
        <w:tblInd w:w="0" w:type="dxa"/>
        <w:shd w:fill="F4F7FB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51"/>
        <w:gridCol w:w="8587"/>
      </w:tblGrid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报告周期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10</w:t>
            </w:r>
            <w:r>
              <w:rPr/>
              <w:t>日—</w:t>
            </w: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14</w:t>
            </w:r>
            <w:r>
              <w:rPr/>
              <w:t>日</w:t>
            </w:r>
          </w:p>
        </w:tc>
      </w:tr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下周周期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17</w:t>
            </w:r>
            <w:r>
              <w:rPr/>
              <w:t>日—</w:t>
            </w: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21</w:t>
            </w:r>
            <w:r>
              <w:rPr/>
              <w:t>日</w:t>
            </w:r>
          </w:p>
        </w:tc>
      </w:tr>
      <w:tr>
        <w:trPr/>
        <w:tc>
          <w:tcPr>
            <w:tcW w:w="2751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产品版本</w:t>
            </w:r>
          </w:p>
        </w:tc>
        <w:tc>
          <w:tcPr>
            <w:tcW w:w="8587" w:type="dxa"/>
            <w:tcBorders/>
            <w:shd w:fill="F4F7FB" w:val="clear"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v2.2.3</w:t>
            </w:r>
          </w:p>
        </w:tc>
      </w:tr>
    </w:tbl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>一、上周工作内容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1. </w:t>
      </w:r>
      <w:r>
        <w:rPr/>
        <w:t>数据建模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完善数仓规划与模型业务上下文关联，统一业务分类、数据域、业务过程、数仓分层、数据集市和主题域的引用关系。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完成可视化建模与代码建模双模式工作台，支持代码只读预览、显式接管、多文件编辑、校验提交及并发冲突提示。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完善模型发布流程，增加构建、质量检查、发布评审、发布登记和上线就绪状态展示。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修复模型实现缺失、实现版本过期、模型变更后重新物化，以及发布候选未固定实现版本等问题。 </w:t>
      </w:r>
    </w:p>
    <w:p>
      <w:pPr>
        <w:pStyle w:val="BodyText"/>
        <w:keepLines w:val="false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生产环境完成</w:t>
      </w:r>
      <w:r>
        <w:rPr/>
        <w:t>16</w:t>
      </w:r>
      <w:r>
        <w:rPr/>
        <w:t xml:space="preserve">个建模页面和核心业务接口验证，页面均可访问，模型、规划、维度、数据集市、分层等真实数据接口正常。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2. </w:t>
      </w:r>
      <w:r>
        <w:rPr/>
        <w:t>数据指标</w:t>
      </w:r>
    </w:p>
    <w:p>
      <w:pPr>
        <w:pStyle w:val="BodyText"/>
        <w:keepLines w:val="false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完善指标与业务分类、数据域、业务过程、模型版本之间的业务上下文关联。 </w:t>
      </w:r>
    </w:p>
    <w:p>
      <w:pPr>
        <w:pStyle w:val="BodyText"/>
        <w:keepLines w:val="false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增加存量指标上下文迁移和一致性校验能力。 </w:t>
      </w:r>
    </w:p>
    <w:p>
      <w:pPr>
        <w:pStyle w:val="BodyText"/>
        <w:keepLines w:val="false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完善指标及公共维度的部门数据范围控制。 </w:t>
      </w:r>
    </w:p>
    <w:p>
      <w:pPr>
        <w:pStyle w:val="BodyText"/>
        <w:keepLines w:val="false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统一指标列表、详情和操作入口的展示方式，减少页面间操作差异。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3. </w:t>
      </w:r>
      <w:r>
        <w:rPr/>
        <w:t>元数据</w:t>
      </w:r>
    </w:p>
    <w:p>
      <w:pPr>
        <w:pStyle w:val="BodyText"/>
        <w:keepLines w:val="false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修复表级元数据与上级数据集资产之间的身份映射问题。 </w:t>
      </w:r>
    </w:p>
    <w:p>
      <w:pPr>
        <w:pStyle w:val="BodyText"/>
        <w:keepLines w:val="false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调整元数据采集机制，重复采集时保留数据集、表和字段的稳定标识，避免产生重复资产。 </w:t>
      </w:r>
    </w:p>
    <w:p>
      <w:pPr>
        <w:pStyle w:val="BodyText"/>
        <w:keepLines w:val="false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将结构变化细分为兼容变更、破坏性变更、待人工确认和来源缺失，并根据模型实际使用字段判断影响。 </w:t>
      </w:r>
    </w:p>
    <w:p>
      <w:pPr>
        <w:pStyle w:val="BodyText"/>
        <w:keepLines w:val="false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增加来源版本差异、重新确认和失效阻断契约，防止模型继续使用已失效的来源。 </w:t>
      </w:r>
    </w:p>
    <w:p>
      <w:pPr>
        <w:pStyle w:val="BodyText"/>
        <w:keepLines w:val="false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修复字段血缘快照过滤及模型导入跳过原因分类，提高问题定位准确性。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4. </w:t>
      </w:r>
      <w:r>
        <w:rPr/>
        <w:t>数据资产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将资产概览调整为单屏统计看板，统一资产搜索入口。 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资产搜索默认展示全部可见资产，避免初始筛选条件导致资产不可见。 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资产目录收敛为“统一搜索、单一列表、统一详情”，支持批量设置业务归属数据域和关联标签。 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统一新旧资产的详情治理入口，完善治理状态、负责人、业务归属数据域和字段契约展示。 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增加数据域层级删除保护，避免仍被下级数据域或业务对象引用时误删除。 </w:t>
      </w:r>
    </w:p>
    <w:p>
      <w:pPr>
        <w:pStyle w:val="BodyText"/>
        <w:keepLines w:val="false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已完成聚焦测试、构建和受控页面验证；真实账号下的批量治理写入仍需补充验收。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5. </w:t>
      </w:r>
      <w:r>
        <w:rPr/>
        <w:t>主数据</w:t>
      </w:r>
    </w:p>
    <w:p>
      <w:pPr>
        <w:pStyle w:val="BodyText"/>
        <w:keepLines w:val="false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上周没有形成通用主数据管理的新功能交付。 </w:t>
      </w:r>
    </w:p>
    <w:p>
      <w:pPr>
        <w:pStyle w:val="BodyText"/>
        <w:keepLines w:val="false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当前实际能力仍以组织和人员主数据为主：组织树维护、院端组织同步、人员信息及同步状态展示，后台已具备人员接口、</w:t>
      </w:r>
      <w:r>
        <w:rPr/>
        <w:t>Excel</w:t>
      </w:r>
      <w:r>
        <w:rPr/>
        <w:t xml:space="preserve">和人工导入能力。 </w:t>
      </w:r>
    </w:p>
    <w:p>
      <w:pPr>
        <w:pStyle w:val="BodyText"/>
        <w:keepLines w:val="false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业务术语、数据元、码表和计量单位页面完成了表格及操作样式统一，但这些属于数据标准，不作为主数据新增功能统计。 </w:t>
      </w:r>
    </w:p>
    <w:p>
      <w:pPr>
        <w:pStyle w:val="BodyText"/>
        <w:keepLines w:val="false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客户、项目、物料等通用主数据，以及黄金记录、匹配合并、来源映射等能力尚未建设。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>二、文档更新内容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更新数据架构实施文档，补充架构字典、模型关系、资产语义、指标上下文迁移及验证证据。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更新资产概览、元数据采集与建模契约、数据血缘治理、建模双模式等方案和验收文档。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新增数据建模生产环境</w:t>
      </w:r>
      <w:r>
        <w:rPr/>
        <w:t>E2E</w:t>
      </w:r>
      <w:r>
        <w:rPr/>
        <w:t>验证报告，记录</w:t>
      </w:r>
      <w:r>
        <w:rPr/>
        <w:t>16</w:t>
      </w:r>
      <w:r>
        <w:rPr/>
        <w:t xml:space="preserve">个页面及核心接口验证结果。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完善模型双模式的页面能力矩阵、按钮矩阵、非功能预算、发布方案和验收基线。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完善财务主题模型说明、模型治理规范和逆向建模导入指南；模型包已完成检查，但尚未正式应用。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完善</w:t>
      </w:r>
      <w:r>
        <w:rPr/>
        <w:t>PJM</w:t>
      </w:r>
      <w:r>
        <w:rPr/>
        <w:t>项目</w:t>
      </w:r>
      <w:r>
        <w:rPr/>
        <w:t>ODS</w:t>
      </w:r>
      <w:r>
        <w:rPr/>
        <w:t>、</w:t>
      </w:r>
      <w:r>
        <w:rPr/>
        <w:t>DWD</w:t>
      </w:r>
      <w:r>
        <w:rPr/>
        <w:t>、</w:t>
      </w:r>
      <w:r>
        <w:rPr/>
        <w:t>DWS</w:t>
      </w:r>
      <w:r>
        <w:rPr/>
        <w:t>、</w:t>
      </w:r>
      <w:r>
        <w:rPr/>
        <w:t>ADS</w:t>
      </w:r>
      <w:r>
        <w:rPr/>
        <w:t xml:space="preserve">建模操作手册，补充预算测试数据、快照日期管理和导入验收说明。 </w:t>
      </w:r>
    </w:p>
    <w:p>
      <w:pPr>
        <w:pStyle w:val="BodyText"/>
        <w:keepLines w:val="false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更新项目管理大屏</w:t>
      </w:r>
      <w:r>
        <w:rPr/>
        <w:t>V5</w:t>
      </w:r>
      <w:r>
        <w:rPr/>
        <w:t xml:space="preserve">实例及相关说明文档。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>三、下周工作计划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1. </w:t>
      </w:r>
      <w:r>
        <w:rPr/>
        <w:t>数据资产、质量和服务</w:t>
      </w:r>
    </w:p>
    <w:p>
      <w:pPr>
        <w:pStyle w:val="BodyText"/>
        <w:keepLines w:val="false"/>
        <w:bidi w:val="0"/>
        <w:jc w:val="start"/>
        <w:rPr/>
      </w:pPr>
      <w:r>
        <w:rPr>
          <w:rStyle w:val="Strong"/>
        </w:rPr>
        <w:t>数据资产方面：</w:t>
      </w:r>
    </w:p>
    <w:p>
      <w:pPr>
        <w:pStyle w:val="BodyText"/>
        <w:keepLines w:val="false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完成资产概览、资产目录和统一详情页的部署后真实账号验收。 </w:t>
      </w:r>
    </w:p>
    <w:p>
      <w:pPr>
        <w:pStyle w:val="BodyText"/>
        <w:keepLines w:val="false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完成批量设置业务归属数据域、标签关联、负责人和治理状态的真实写入验证。 </w:t>
      </w:r>
    </w:p>
    <w:p>
      <w:pPr>
        <w:pStyle w:val="BodyText"/>
        <w:keepLines w:val="false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补齐来源盘点页面，展示当前版本、已确认版本、差异类型及重新确认、排除等操作。 </w:t>
      </w:r>
    </w:p>
    <w:p>
      <w:pPr>
        <w:pStyle w:val="BodyText"/>
        <w:keepLines w:val="false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推进人工血缘登记、血缘核验和采集失败明细，使血缘从查询展示转为可治理闭环。 </w:t>
      </w:r>
    </w:p>
    <w:p>
      <w:pPr>
        <w:pStyle w:val="BodyText"/>
        <w:keepLines w:val="false"/>
        <w:bidi w:val="0"/>
        <w:jc w:val="start"/>
        <w:rPr/>
      </w:pPr>
      <w:r>
        <w:rPr>
          <w:rStyle w:val="Strong"/>
        </w:rPr>
        <w:t>数据质量方面：</w:t>
      </w:r>
    </w:p>
    <w:p>
      <w:pPr>
        <w:pStyle w:val="BodyText"/>
        <w:keepLines w:val="false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打通“资产选择—规则配置—任务执行—监控告警—问题处置—质量报告”完整链路。 </w:t>
      </w:r>
    </w:p>
    <w:p>
      <w:pPr>
        <w:pStyle w:val="BodyText"/>
        <w:keepLines w:val="false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完善规则模板、运行记录、异常问题单、处理记录和报告导出。 </w:t>
      </w:r>
    </w:p>
    <w:p>
      <w:pPr>
        <w:pStyle w:val="BodyText"/>
        <w:keepLines w:val="false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验证部门权限、资产密级及规则执行对象的一致性。 </w:t>
      </w:r>
    </w:p>
    <w:p>
      <w:pPr>
        <w:pStyle w:val="BodyText"/>
        <w:keepLines w:val="false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SQL</w:t>
      </w:r>
      <w:r>
        <w:rPr/>
        <w:t xml:space="preserve">修复和数据清洗暂不直接开放，先补齐后端执行、安全审批和审计能力。 </w:t>
      </w:r>
    </w:p>
    <w:p>
      <w:pPr>
        <w:pStyle w:val="BodyText"/>
        <w:keepLines w:val="false"/>
        <w:bidi w:val="0"/>
        <w:jc w:val="start"/>
        <w:rPr/>
      </w:pPr>
      <w:r>
        <w:rPr>
          <w:rStyle w:val="Strong"/>
        </w:rPr>
        <w:t>数据服务方面：</w:t>
      </w:r>
    </w:p>
    <w:p>
      <w:pPr>
        <w:pStyle w:val="BodyText"/>
        <w:keepLines w:val="false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完善数据</w:t>
      </w:r>
      <w:r>
        <w:rPr/>
        <w:t>API</w:t>
      </w:r>
      <w:r>
        <w:rPr/>
        <w:t xml:space="preserve">的新建、测试调用、启用、下线、限流和调用记录。 </w:t>
      </w:r>
    </w:p>
    <w:p>
      <w:pPr>
        <w:pStyle w:val="BodyText"/>
        <w:keepLines w:val="false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完善数据产品版本、发布、归档及来源资产追溯。 </w:t>
      </w:r>
    </w:p>
    <w:p>
      <w:pPr>
        <w:pStyle w:val="BodyText"/>
        <w:keepLines w:val="false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补齐</w:t>
      </w:r>
      <w:r>
        <w:rPr/>
        <w:t>API</w:t>
      </w:r>
      <w:r>
        <w:rPr/>
        <w:t xml:space="preserve">服务和共享令牌的审计流水。 </w:t>
      </w:r>
    </w:p>
    <w:p>
      <w:pPr>
        <w:pStyle w:val="BodyText"/>
        <w:keepLines w:val="false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打通模型、指标、资产到</w:t>
      </w:r>
      <w:r>
        <w:rPr/>
        <w:t>API</w:t>
      </w:r>
      <w:r>
        <w:rPr/>
        <w:t xml:space="preserve">或数据产品的发布入口，并完成真实消费验证。 </w:t>
      </w:r>
    </w:p>
    <w:p>
      <w:pPr>
        <w:pStyle w:val="Heading3"/>
        <w:keepLines w:val="false"/>
        <w:bidi w:val="0"/>
        <w:jc w:val="start"/>
        <w:rPr/>
      </w:pPr>
      <w:r>
        <w:rPr/>
        <w:t xml:space="preserve">2. </w:t>
      </w:r>
      <w:r>
        <w:rPr/>
        <w:t>主数据界面更新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将“主数据管理”收敛为统一入口，首期设置“组织主数据、人员主数据、同步批次”三个页面。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人员主数据增加列表、详情、部门筛选、状态筛选、最后同步时间和来源信息。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接入现有人员</w:t>
      </w:r>
      <w:r>
        <w:rPr/>
        <w:t>API</w:t>
      </w:r>
      <w:r>
        <w:rPr/>
        <w:t>、</w:t>
      </w:r>
      <w:r>
        <w:rPr/>
        <w:t>Excel</w:t>
      </w:r>
      <w:r>
        <w:rPr/>
        <w:t xml:space="preserve">、人工导入能力，增加导入预检查、执行结果、失败原因和批次历史。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组织主数据增加最近同步状态、同步批次、差异数量和失败明细，避免仅通过提示消息反馈结果。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补齐加载、空数据、无权限、失败和重试状态，并进行</w:t>
      </w:r>
      <w:r>
        <w:rPr/>
        <w:t>Chrome 95</w:t>
      </w:r>
      <w:r>
        <w:rPr/>
        <w:t xml:space="preserve">兼容验证。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业务术语、数据元、码表和计量单位继续归属数据标准，不与主数据混为同一控制面。 </w:t>
      </w:r>
    </w:p>
    <w:p>
      <w:pPr>
        <w:pStyle w:val="BodyText"/>
        <w:keepLines w:val="false"/>
        <w:numPr>
          <w:ilvl w:val="0"/>
          <w:numId w:val="10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客户、项目、物料等通用黄金记录及匹配合并能力，需要另行确认业务范围后再排期。 </w:t>
      </w:r>
    </w:p>
    <w:p>
      <w:pPr>
        <w:pStyle w:val="Heading2"/>
        <w:keepLines w:val="false"/>
        <w:bidi w:val="0"/>
        <w:ind w:hanging="0" w:start="0" w:end="0"/>
        <w:jc w:val="start"/>
        <w:rPr/>
      </w:pPr>
      <w:r>
        <w:rPr/>
        <w:t>四、测试问题清单</w:t>
      </w:r>
    </w:p>
    <w:tbl>
      <w:tblPr>
        <w:tblW w:w="4400" w:type="pct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0"/>
        <w:gridCol w:w="836"/>
        <w:gridCol w:w="1034"/>
        <w:gridCol w:w="4601"/>
        <w:gridCol w:w="2867"/>
      </w:tblGrid>
      <w:tr>
        <w:trPr>
          <w:tblHeader w:val="true"/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center"/>
              <w:rPr/>
            </w:pPr>
            <w:r>
              <w:rPr/>
              <w:t>编号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center"/>
              <w:rPr/>
            </w:pPr>
            <w:r>
              <w:rPr/>
              <w:t>优先级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center"/>
              <w:rPr/>
            </w:pPr>
            <w:r>
              <w:rPr/>
              <w:t>模块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center"/>
              <w:rPr/>
            </w:pPr>
            <w:r>
              <w:rPr/>
              <w:t>问题或验收缺口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Heading"/>
              <w:bidi w:val="0"/>
              <w:spacing w:before="100" w:after="100"/>
              <w:ind w:hanging="0" w:start="0" w:end="0"/>
              <w:rPr/>
            </w:pPr>
            <w:r>
              <w:rPr/>
              <w:t>处理计划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T-01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模型发布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发布候选聚焦回归</w:t>
            </w:r>
            <w:r>
              <w:rPr/>
              <w:t>80</w:t>
            </w:r>
            <w:r>
              <w:rPr/>
              <w:t>条通过</w:t>
            </w:r>
            <w:r>
              <w:rPr/>
              <w:t>79</w:t>
            </w:r>
            <w:r>
              <w:rPr/>
              <w:t>条；状态机允许“已构建→已取消”，但旧测试认为不允许。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先确认产品状态语义，再统一实现与测试。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T-02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模型发布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可视化、原生代码和接管代码三条路径尚未完成三角色发布及物理上线验证。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准备维护、评审、发布三个独立账号并执行完整链路。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T-03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元数据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来源盘点</w:t>
            </w:r>
            <w:r>
              <w:rPr/>
              <w:t>UI</w:t>
            </w:r>
            <w:r>
              <w:rPr/>
              <w:t>和“采集—确认—建模—发布—再次采集—处置”真实链路尚未验收。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补授权账号和真实来源样本后执行。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T-04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浏览器兼容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多数页面只有构建和静态兼容检查，缺少登录态</w:t>
            </w:r>
            <w:r>
              <w:rPr/>
              <w:t>Chrome 95</w:t>
            </w:r>
            <w:r>
              <w:rPr/>
              <w:t>控制台、网络及截图证据。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下周集中执行一次真实浏览器回归。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T-05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数据资产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批量数据域、标签及详情治理主要完成本地或受控验证，真实资产写入验收不足。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使用真实账号、旧资产和权限矩阵验证。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T-06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数据血缘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人工血缘登记、核验状态和采集运营台尚未闭环，缺少真实规模数据。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补真实血缘样本后完成页面和接口联调。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T-07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数据质量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SQL</w:t>
            </w:r>
            <w:r>
              <w:rPr/>
              <w:t>修复、数据清洗及部分报告配置仍为禁用状态，完整质量闭环未实测。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先补执行、审批、审计契约，再开放入口。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T-08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数据服务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API</w:t>
            </w:r>
            <w:r>
              <w:rPr/>
              <w:t>启用、审计、令牌审计和数据产品独立下线接口尚未接入。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补齐接口后验证发布、调用、审计和撤销。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T-09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P1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主数据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人员导入和批次接口已有后台能力，但尚无独立前端页面；院端同步及账号一致性未实测。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ind w:hanging="0" w:start="0" w:end="0"/>
              <w:jc w:val="start"/>
              <w:rPr/>
            </w:pPr>
            <w:r>
              <w:rPr/>
              <w:t>建设人员主数据页面并进行真实同步验收。</w:t>
            </w:r>
          </w:p>
        </w:tc>
      </w:tr>
      <w:tr>
        <w:trPr>
          <w:cantSplit w:val="true"/>
        </w:trPr>
        <w:tc>
          <w:tcPr>
            <w:tcW w:w="6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center"/>
              <w:rPr/>
            </w:pPr>
            <w:r>
              <w:rPr/>
              <w:t>T-10</w:t>
            </w:r>
          </w:p>
        </w:tc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P2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测试数据</w:t>
            </w:r>
          </w:p>
        </w:tc>
        <w:tc>
          <w:tcPr>
            <w:tcW w:w="46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生产</w:t>
            </w:r>
            <w:r>
              <w:rPr/>
              <w:t>E2E</w:t>
            </w:r>
            <w:r>
              <w:rPr/>
              <w:t>中业务标准、词根和部分业务过程为空，影响相关场景覆盖。</w:t>
            </w:r>
          </w:p>
        </w:tc>
        <w:tc>
          <w:tcPr>
            <w:tcW w:w="28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补充最小业务样本后重新验证。</w:t>
            </w:r>
          </w:p>
        </w:tc>
      </w:tr>
    </w:tbl>
    <w:p>
      <w:pPr>
        <w:pStyle w:val="BodyTextfooter-note"/>
        <w:bidi w:val="0"/>
        <w:spacing w:before="320" w:after="100"/>
        <w:jc w:val="start"/>
        <w:rPr/>
      </w:pPr>
      <w:r>
        <w:rPr/>
        <w:t>说明：以上为当前仓库、测试报告和既有执行记录的复核结果。本次未重新执行全量测试；历史部署运行态仍需在正式验收前再次确认。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YaHei">
    <w:altName w:val="Noto Sans CJK SC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Microsoft YaHei;Noto Sans CJK SC;SimSun;sans-serif" w:hAnsi="Microsoft YaHei;Noto Sans CJK SC;SimSun;sans-serif" w:eastAsia="Microsoft YaHei;Noto Sans CJK SC;SimSun;sans-serif" w:cs="Microsoft YaHei;Noto Sans CJK SC;SimSun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60"/>
      <w:ind w:start="360" w:end="360"/>
      <w:jc w:val="center"/>
    </w:pPr>
    <w:rPr>
      <w:rFonts w:ascii="Noto Sans" w:hAnsi="Noto Sans"/>
      <w:b/>
      <w:bCs/>
      <w:color w:val="17365D"/>
      <w:spacing w:val="2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6" w:space="4" w:color="5B9BD5"/>
      </w:pBdr>
      <w:spacing w:before="360" w:after="200"/>
      <w:ind w:start="360" w:end="360"/>
      <w:outlineLvl w:val="1"/>
    </w:pPr>
    <w:rPr>
      <w:rFonts w:ascii="Liberation Serif" w:hAnsi="Liberation Serif" w:eastAsia="Noto Serif CJK SC" w:cs="Noto Sans Devanagari"/>
      <w:b/>
      <w:bCs/>
      <w:color w:val="17365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60" w:after="100"/>
      <w:ind w:start="260" w:end="260"/>
      <w:outlineLvl w:val="2"/>
    </w:pPr>
    <w:rPr>
      <w:rFonts w:ascii="Liberation Serif" w:hAnsi="Liberation Serif" w:eastAsia="Noto Serif CJK SC" w:cs="Noto Sans Devanagari"/>
      <w:b/>
      <w:bCs/>
      <w:color w:val="2F559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00" w:after="100"/>
      <w:ind w:start="100" w:end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100" w:after="360"/>
      <w:jc w:val="center"/>
    </w:pPr>
    <w:rPr>
      <w:color w:val="475569"/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ooter-note">
    <w:name w:val="Body Text.footer-note"/>
    <w:basedOn w:val="BodyText"/>
    <w:qFormat/>
    <w:pPr>
      <w:pBdr>
        <w:top w:val="single" w:sz="2" w:space="7" w:color="CBD5E1"/>
      </w:pBdr>
      <w:spacing w:before="320" w:after="100"/>
    </w:pPr>
    <w:rPr>
      <w:color w:val="64748B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DTS v2.2.3 周报（2026年8月10日—8月14日）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