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Heading1"/>
        <w:bidi w:val="0"/>
        <w:spacing w:before="360" w:after="160"/>
        <w:rPr/>
      </w:pPr>
      <w:r>
        <w:rPr/>
        <w:t xml:space="preserve">DTS v2.2.3 周报</w:t>
      </w:r>
    </w:p>
    <w:p>
      <w:pPr>
        <w:pStyle w:val="BodyTextsubtitle"/>
        <w:bidi w:val="0"/>
        <w:rPr/>
      </w:pPr>
      <w:r>
        <w:rPr/>
        <w:t xml:space="preserve">商业智能、数据门户、数据资产、数据建模及安全合规工作汇总</w:t>
      </w:r>
    </w:p>
    <w:tbl>
      <w:tblPr>
        <w:tblW w:w="5000" w:type="pct"/>
        <w:jc w:val="start"/>
        <w:tblInd w:w="0" w:type="dxa"/>
        <w:shd w:fill="F4F7FB" w:val="clear"/>
        <w:tblLayout w:type="fixed"/>
        <w:tblCellMar>
          <w:top w:w="28" w:type="dxa"/>
          <w:start w:w="28" w:type="dxa"/>
          <w:bottom w:w="28" w:type="dxa"/>
          <w:end w:w="28" w:type="dxa"/>
        </w:tblCellMar>
      </w:tblPr>
      <w:tblGrid>
        <w:gridCol w:w="2751"/>
        <w:gridCol w:w="8587"/>
      </w:tblGrid>
      <w:tr>
        <w:trPr/>
        <w:tc>
          <w:tcPr>
            <w:tcW w:w="2751" w:type="dxa"/>
            <w:tcBorders/>
            <w:shd w:fill="F4F7FB" w:val="clear"/>
            <w:vAlign w:val="center"/>
          </w:tcPr>
          <w:p>
            <w:pPr>
              <w:pStyle w:val="TableContents"/>
              <w:bidi w:val="0"/>
              <w:spacing w:before="100" w:after="100"/>
              <w:jc w:val="start"/>
              <w:rPr/>
            </w:pPr>
            <w:r>
              <w:rPr/>
              <w:t xml:space="preserve">报告周期</w:t>
            </w:r>
          </w:p>
        </w:tc>
        <w:tc>
          <w:tcPr>
            <w:tcW w:w="8587" w:type="dxa"/>
            <w:tcBorders/>
            <w:shd w:fill="F4F7FB" w:val="clear"/>
            <w:vAlign w:val="center"/>
          </w:tcPr>
          <w:p>
            <w:pPr>
              <w:pStyle w:val="TableContents"/>
              <w:bidi w:val="0"/>
              <w:spacing w:before="100" w:after="100"/>
              <w:jc w:val="start"/>
              <w:rPr/>
            </w:pPr>
            <w:r>
              <w:rPr/>
              <w:t xml:space="preserve">2026年8月17日—2026年8月21日</w:t>
            </w:r>
          </w:p>
        </w:tc>
      </w:tr>
      <w:tr>
        <w:trPr/>
        <w:tc>
          <w:tcPr>
            <w:tcW w:w="2751" w:type="dxa"/>
            <w:tcBorders/>
            <w:shd w:fill="F4F7FB" w:val="clear"/>
            <w:vAlign w:val="center"/>
          </w:tcPr>
          <w:p>
            <w:pPr>
              <w:pStyle w:val="TableContents"/>
              <w:bidi w:val="0"/>
              <w:spacing w:before="100" w:after="100"/>
              <w:jc w:val="start"/>
              <w:rPr/>
            </w:pPr>
            <w:r>
              <w:rPr/>
              <w:t xml:space="preserve">下周周期</w:t>
            </w:r>
          </w:p>
        </w:tc>
        <w:tc>
          <w:tcPr>
            <w:tcW w:w="8587" w:type="dxa"/>
            <w:tcBorders/>
            <w:shd w:fill="F4F7FB" w:val="clear"/>
            <w:vAlign w:val="center"/>
          </w:tcPr>
          <w:p>
            <w:pPr>
              <w:pStyle w:val="TableContents"/>
              <w:bidi w:val="0"/>
              <w:spacing w:before="100" w:after="100"/>
              <w:jc w:val="start"/>
              <w:rPr/>
            </w:pPr>
            <w:r>
              <w:rPr/>
              <w:t xml:space="preserve">2026年8月24日—2026年8月28日</w:t>
            </w:r>
          </w:p>
        </w:tc>
      </w:tr>
      <w:tr>
        <w:trPr/>
        <w:tc>
          <w:tcPr>
            <w:tcW w:w="2751" w:type="dxa"/>
            <w:tcBorders/>
            <w:shd w:fill="F4F7FB" w:val="clear"/>
            <w:vAlign w:val="center"/>
          </w:tcPr>
          <w:p>
            <w:pPr>
              <w:pStyle w:val="TableContents"/>
              <w:bidi w:val="0"/>
              <w:spacing w:before="100" w:after="100"/>
              <w:jc w:val="start"/>
              <w:rPr/>
            </w:pPr>
            <w:r>
              <w:rPr/>
              <w:t xml:space="preserve">产品版本</w:t>
            </w:r>
          </w:p>
        </w:tc>
        <w:tc>
          <w:tcPr>
            <w:tcW w:w="8587" w:type="dxa"/>
            <w:tcBorders/>
            <w:shd w:fill="F4F7FB" w:val="clear"/>
            <w:vAlign w:val="center"/>
          </w:tcPr>
          <w:p>
            <w:pPr>
              <w:pStyle w:val="TableContents"/>
              <w:bidi w:val="0"/>
              <w:spacing w:before="100" w:after="100"/>
              <w:jc w:val="start"/>
              <w:rPr/>
            </w:pPr>
            <w:r>
              <w:rPr/>
              <w:t xml:space="preserve">v2.2.3</w:t>
            </w:r>
          </w:p>
        </w:tc>
      </w:tr>
    </w:tbl>
    <w:p>
      <w:pPr>
        <w:pStyle w:val="Heading2"/>
        <w:keepLines w:val="false"/>
        <w:bidi w:val="0"/>
        <w:ind w:hanging="0" w:start="0" w:end="0"/>
        <w:jc w:val="start"/>
        <w:rPr/>
      </w:pPr>
      <w:r>
        <w:rPr/>
        <w:t xml:space="preserve">一、本周工作内容</w:t>
      </w:r>
    </w:p>
    <w:p>
      <w:pPr>
        <w:pStyle w:val="Heading3"/>
        <w:keepLines w:val="false"/>
        <w:bidi w:val="0"/>
        <w:jc w:val="start"/>
        <w:rPr/>
      </w:pPr>
      <w:r>
        <w:rPr/>
        <w:t xml:space="preserve">1. 商业智能与数据分析</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完成受治理的分析创作闭环，业务人员可在既有分析入口完成拖拽出图、样式调整、计算字段、联动配置、发布和导出，全过程继续受数据集契约、权限和查询预算约束。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在分析编辑器中暴露图表类型选择器，并统一分析数据集详情的术语表述，减少同一概念在不同页面的叫法差异。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完成看板编排与发布闭环，作者可在同一编辑器内选择已发布分析、拖放编排、编辑组件、保存草稿并选择发布范围。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修复未命名草稿导致看板无法保存的阻断问题，新建草稿的命名改为可直接编辑。 </w:t>
      </w:r>
    </w:p>
    <w:p>
      <w:pPr>
        <w:pStyle w:val="BodyText"/>
        <w:keepLines w:val="false"/>
        <w:numPr>
          <w:ilvl w:val="0"/>
          <w:numId w:val="1"/>
        </w:numPr>
        <w:tabs>
          <w:tab w:val="clear" w:pos="1134"/>
          <w:tab w:val="left" w:pos="809" w:leader="none"/>
        </w:tabs>
        <w:bidi w:val="0"/>
        <w:ind w:hanging="283" w:start="809"/>
        <w:jc w:val="start"/>
        <w:rPr/>
      </w:pPr>
      <w:r>
        <w:rPr/>
        <w:t xml:space="preserve">修复治理型商业智能的升级连续性、分析发布服务启动异常，以及平台与分析服务之间的联动断链。 </w:t>
      </w:r>
    </w:p>
    <w:p>
      <w:pPr>
        <w:pStyle w:val="Heading3"/>
        <w:keepLines w:val="false"/>
        <w:bidi w:val="0"/>
        <w:jc w:val="start"/>
        <w:rPr/>
      </w:pPr>
      <w:r>
        <w:rPr/>
        <w:t xml:space="preserve">2. 数据门户与数据消费</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新增客户数据门户，登录用户从统一入口按主题域浏览自己有权访问的已发布大屏，点击后在右侧加载当前发布版本。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门户支持稳定链接直达、刷新保持和跳转大屏管理，未发布内容不进入门户目录。 </w:t>
      </w:r>
    </w:p>
    <w:p>
      <w:pPr>
        <w:pStyle w:val="BodyText"/>
        <w:keepLines w:val="false"/>
        <w:numPr>
          <w:ilvl w:val="0"/>
          <w:numId w:val="1"/>
        </w:numPr>
        <w:tabs>
          <w:tab w:val="clear" w:pos="1134"/>
          <w:tab w:val="left" w:pos="809" w:leader="none"/>
        </w:tabs>
        <w:bidi w:val="0"/>
        <w:ind w:hanging="283" w:start="809"/>
        <w:jc w:val="start"/>
        <w:rPr/>
      </w:pPr>
      <w:r>
        <w:rPr/>
        <w:t xml:space="preserve">门户目录复用大屏既有的发布状态与权限体系，不新建第二套权限或发布控制面。 </w:t>
      </w:r>
    </w:p>
    <w:p>
      <w:pPr>
        <w:pStyle w:val="Heading3"/>
        <w:keepLines w:val="false"/>
        <w:bidi w:val="0"/>
        <w:jc w:val="start"/>
        <w:rPr/>
      </w:pPr>
      <w:r>
        <w:rPr/>
        <w:t xml:space="preserve">3. 数据资产与标签</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完成企业数据资产目录闭环，数据表、数据模型、指标、分析数据集、看板、数据产品和数据服务进入统一资产目录。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恢复可发现的数据标签入口，贯通按标签筛选、资产关联、关系查看和质量事实展示。 </w:t>
      </w:r>
    </w:p>
    <w:p>
      <w:pPr>
        <w:pStyle w:val="BodyText"/>
        <w:keepLines w:val="false"/>
        <w:numPr>
          <w:ilvl w:val="0"/>
          <w:numId w:val="1"/>
        </w:numPr>
        <w:tabs>
          <w:tab w:val="clear" w:pos="1134"/>
          <w:tab w:val="left" w:pos="809" w:leader="none"/>
        </w:tabs>
        <w:bidi w:val="0"/>
        <w:ind w:hanging="283" w:start="809"/>
        <w:jc w:val="start"/>
        <w:rPr/>
      </w:pPr>
      <w:r>
        <w:rPr/>
        <w:t xml:space="preserve">本项在不复制业务归属数据、不新建第二套资产身份的前提下完成，已按计划收口。 </w:t>
      </w:r>
    </w:p>
    <w:p>
      <w:pPr>
        <w:pStyle w:val="Heading3"/>
        <w:keepLines w:val="false"/>
        <w:bidi w:val="0"/>
        <w:jc w:val="start"/>
        <w:rPr/>
      </w:pPr>
      <w:r>
        <w:rPr/>
        <w:t xml:space="preserve">4. 数据建模</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完成依赖感知的模型物化流程，模型按依赖顺序构建。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修复当前版本维度无法创建新修订版本的编辑锁问题。 </w:t>
      </w:r>
    </w:p>
    <w:p>
      <w:pPr>
        <w:pStyle w:val="BodyText"/>
        <w:keepLines w:val="false"/>
        <w:numPr>
          <w:ilvl w:val="0"/>
          <w:numId w:val="1"/>
        </w:numPr>
        <w:tabs>
          <w:tab w:val="clear" w:pos="1134"/>
          <w:tab w:val="left" w:pos="809" w:leader="none"/>
        </w:tabs>
        <w:bidi w:val="0"/>
        <w:ind w:hanging="283" w:start="809"/>
        <w:jc w:val="start"/>
        <w:rPr/>
      </w:pPr>
      <w:r>
        <w:rPr/>
        <w:t xml:space="preserve">完成建模治理证据闭环的增量回归，模型构建、物化、质量检查到发布后的资产身份保持一致。 </w:t>
      </w:r>
    </w:p>
    <w:p>
      <w:pPr>
        <w:pStyle w:val="Heading3"/>
        <w:keepLines w:val="false"/>
        <w:bidi w:val="0"/>
        <w:jc w:val="start"/>
        <w:rPr/>
      </w:pPr>
      <w:r>
        <w:rPr/>
        <w:t xml:space="preserve">5. 安全与合规</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完成技术协议逐条对账复核，以源码实测方式核验协议十个功能模块及非功能要求，形成缺口复核报告。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复核结论：协议原列的十三项一级缺口目前已闭合两项（会话安全、操作权限矩阵），仍有十一项未闭合；二级缺口剩余二十五项。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完成密级控制现状确认：统一密级目录、入湖密级封存、准入校验、沿血缘只升不降传播、消费侧密级拦截均已具备，可作为后续功能的依赖。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完成下一阶段合规专项立项，覆盖口令策略与登录失败锁定、保密符合性映射与测评整改台账、敏感数据自动识别、系统监控告警四个方向。 </w:t>
      </w:r>
    </w:p>
    <w:p>
      <w:pPr>
        <w:pStyle w:val="BodyText"/>
        <w:keepLines w:val="false"/>
        <w:numPr>
          <w:ilvl w:val="0"/>
          <w:numId w:val="1"/>
        </w:numPr>
        <w:tabs>
          <w:tab w:val="clear" w:pos="1134"/>
          <w:tab w:val="left" w:pos="809" w:leader="none"/>
        </w:tabs>
        <w:bidi w:val="0"/>
        <w:ind w:hanging="283" w:start="809"/>
        <w:jc w:val="start"/>
        <w:rPr/>
      </w:pPr>
      <w:r>
        <w:rPr/>
        <w:t xml:space="preserve">受客户审批模型尚未确定影响，数据生命周期审批、文件维护审批、元数据审核发布三项暂缓，已单独登记并保留统一接入位置，待审批模型确定后再实施。 </w:t>
      </w:r>
    </w:p>
    <w:p>
      <w:pPr>
        <w:pStyle w:val="Heading2"/>
        <w:keepLines w:val="false"/>
        <w:bidi w:val="0"/>
        <w:ind w:hanging="0" w:start="0" w:end="0"/>
        <w:jc w:val="start"/>
        <w:rPr/>
      </w:pPr>
      <w:r>
        <w:rPr/>
        <w:t xml:space="preserve">二、文档更新内容</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新增技术协议缺口复核报告，逐项记录每条缺口的当前状态与源码证据位置。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新增合规专项实施方案，含五个工作项、十五项任务、端到端契约链、现状勘察账本与验收证据清单。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新增密级控制现状确认说明，记录已具备能力与仍存在的缺口。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新增协议缺口登记册，将未纳入本期的六项一级缺口与二十五项二级缺口按工作项与任务粒度登记并划分波次。 </w:t>
      </w:r>
    </w:p>
    <w:p>
      <w:pPr>
        <w:pStyle w:val="BodyText"/>
        <w:keepLines w:val="false"/>
        <w:numPr>
          <w:ilvl w:val="0"/>
          <w:numId w:val="1"/>
        </w:numPr>
        <w:tabs>
          <w:tab w:val="clear" w:pos="1134"/>
          <w:tab w:val="left" w:pos="809" w:leader="none"/>
        </w:tabs>
        <w:bidi w:val="0"/>
        <w:ind w:hanging="283" w:start="809"/>
        <w:jc w:val="start"/>
        <w:rPr/>
      </w:pPr>
      <w:r>
        <w:rPr/>
        <w:t xml:space="preserve">更新商业智能看板发布、数据门户、企业资产目录、建模治理证据等方案与验收文档。 </w:t>
      </w:r>
    </w:p>
    <w:p>
      <w:pPr>
        <w:pStyle w:val="Heading2"/>
        <w:keepLines w:val="false"/>
        <w:bidi w:val="0"/>
        <w:ind w:hanging="0" w:start="0" w:end="0"/>
        <w:jc w:val="start"/>
        <w:rPr/>
      </w:pPr>
      <w:r>
        <w:rPr/>
        <w:t xml:space="preserve">三、下周工作计划</w:t>
      </w:r>
    </w:p>
    <w:p>
      <w:pPr>
        <w:pStyle w:val="Heading3"/>
        <w:keepLines w:val="false"/>
        <w:bidi w:val="0"/>
        <w:jc w:val="start"/>
        <w:rPr/>
      </w:pPr>
      <w:r>
        <w:rPr/>
        <w:t xml:space="preserve">1. 安全与合规</w:t>
      </w:r>
    </w:p>
    <w:p>
      <w:pPr>
        <w:pStyle w:val="BodyText"/>
        <w:keepLines w:val="false"/>
        <w:bidi w:val="0"/>
        <w:spacing w:before="160" w:after="0"/>
        <w:jc w:val="start"/>
        <w:rPr/>
      </w:pPr>
      <w:r>
        <w:rPr/>
        <w:t xml:space="preserve">口令与登录安全方面：</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配置统一认证的口令复杂度、有效期、历史口令限制及登录失败锁定策略，并提供变更回滚预案。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新增口令策略查询接口与前端策略提示，用户在修改口令时可实时看到未满足的具体要求。 </w:t>
      </w:r>
    </w:p>
    <w:p>
      <w:pPr>
        <w:pStyle w:val="BodyText"/>
        <w:keepLines w:val="false"/>
        <w:numPr>
          <w:ilvl w:val="0"/>
          <w:numId w:val="1"/>
        </w:numPr>
        <w:tabs>
          <w:tab w:val="clear" w:pos="1134"/>
          <w:tab w:val="left" w:pos="809" w:leader="none"/>
        </w:tabs>
        <w:bidi w:val="0"/>
        <w:ind w:hanging="283" w:start="809"/>
        <w:jc w:val="start"/>
        <w:rPr/>
      </w:pPr>
      <w:r>
        <w:rPr/>
        <w:t xml:space="preserve">登录失败锁定事件纳入审计，登录失败提示统一措辞，避免暴露账号是否存在。 </w:t>
      </w:r>
    </w:p>
    <w:p>
      <w:pPr>
        <w:pStyle w:val="BodyText"/>
        <w:keepLines w:val="false"/>
        <w:bidi w:val="0"/>
        <w:spacing w:before="160" w:after="0"/>
        <w:jc w:val="start"/>
        <w:rPr/>
      </w:pPr>
      <w:r>
        <w:rPr/>
        <w:t xml:space="preserve">保密合规方面：</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扩展现有安全基线能力，按保密标准条款组织符合性检查，并支持按测评轮次管理。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实现自动校验能力，口令策略、失败锁定、审计开启、备份可恢复等项由系统自动判定并产出机器证据。 </w:t>
      </w:r>
    </w:p>
    <w:p>
      <w:pPr>
        <w:pStyle w:val="BodyText"/>
        <w:keepLines w:val="false"/>
        <w:numPr>
          <w:ilvl w:val="0"/>
          <w:numId w:val="1"/>
        </w:numPr>
        <w:tabs>
          <w:tab w:val="clear" w:pos="1134"/>
          <w:tab w:val="left" w:pos="809" w:leader="none"/>
        </w:tabs>
        <w:bidi w:val="0"/>
        <w:ind w:hanging="283" w:start="809"/>
        <w:jc w:val="start"/>
        <w:rPr/>
      </w:pPr>
      <w:r>
        <w:rPr/>
        <w:t xml:space="preserve">支持不符合项的整改登记、责任人指派与证据补充，并可按轮次导出完整证据包。 </w:t>
      </w:r>
    </w:p>
    <w:p>
      <w:pPr>
        <w:pStyle w:val="BodyText"/>
        <w:keepLines w:val="false"/>
        <w:bidi w:val="0"/>
        <w:spacing w:before="160" w:after="0"/>
        <w:jc w:val="start"/>
        <w:rPr/>
      </w:pPr>
      <w:r>
        <w:rPr/>
        <w:t xml:space="preserve">数据安全方面：</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建设敏感数据识别规则库并预置常见个人信息规则，支持按范围发起扫描。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扫描结果确认后自动生成脱敏规则并在查询期生效；密级建议提交既有密级控制面处理，不绕过只升不降约束。 </w:t>
      </w:r>
    </w:p>
    <w:p>
      <w:pPr>
        <w:pStyle w:val="BodyText"/>
        <w:keepLines w:val="false"/>
        <w:numPr>
          <w:ilvl w:val="0"/>
          <w:numId w:val="1"/>
        </w:numPr>
        <w:tabs>
          <w:tab w:val="clear" w:pos="1134"/>
          <w:tab w:val="left" w:pos="809" w:leader="none"/>
        </w:tabs>
        <w:bidi w:val="0"/>
        <w:ind w:hanging="283" w:start="809"/>
        <w:jc w:val="start"/>
        <w:rPr/>
      </w:pPr>
      <w:r>
        <w:rPr/>
        <w:t xml:space="preserve">扫描过程中的样本值全链路脱敏，不落前端、不落日志。 </w:t>
      </w:r>
    </w:p>
    <w:p>
      <w:pPr>
        <w:pStyle w:val="BodyText"/>
        <w:keepLines w:val="false"/>
        <w:bidi w:val="0"/>
        <w:spacing w:before="160" w:after="0"/>
        <w:jc w:val="start"/>
        <w:rPr/>
      </w:pPr>
      <w:r>
        <w:rPr/>
        <w:t xml:space="preserve">监控告警方面：</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部署监控与告警组件，接入四个后台服务的指标采集。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定义服务不可用、入湖任务连续失败、审计写入中断、磁盘水位等告警规则，并配置抑制策略避免告警风暴。 </w:t>
      </w:r>
    </w:p>
    <w:p>
      <w:pPr>
        <w:pStyle w:val="BodyText"/>
        <w:keepLines w:val="false"/>
        <w:numPr>
          <w:ilvl w:val="0"/>
          <w:numId w:val="1"/>
        </w:numPr>
        <w:tabs>
          <w:tab w:val="clear" w:pos="1134"/>
          <w:tab w:val="left" w:pos="809" w:leader="none"/>
        </w:tabs>
        <w:bidi w:val="0"/>
        <w:ind w:hanging="283" w:start="809"/>
        <w:jc w:val="start"/>
        <w:rPr/>
      </w:pPr>
      <w:r>
        <w:rPr/>
        <w:t xml:space="preserve">补充平台业务指标埋点，提供只读监控看板，平台内不重复建设监控页面。 </w:t>
      </w:r>
    </w:p>
    <w:p>
      <w:pPr>
        <w:pStyle w:val="Heading3"/>
        <w:keepLines w:val="false"/>
        <w:bidi w:val="0"/>
        <w:jc w:val="start"/>
        <w:rPr/>
      </w:pPr>
      <w:r>
        <w:rPr/>
        <w:t xml:space="preserve">2. 交付验收与收尾</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执行交付基线核验，确认运行实例、登录方式、关键页面可达性及浏览器兼容环境，作为后续界面验收的前置条件。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完成看板发布闭环在容器环境下的真实发布验收。 </w:t>
      </w:r>
    </w:p>
    <w:p>
      <w:pPr>
        <w:pStyle w:val="BodyText"/>
        <w:keepLines w:val="false"/>
        <w:numPr>
          <w:ilvl w:val="0"/>
          <w:numId w:val="1"/>
        </w:numPr>
        <w:tabs>
          <w:tab w:val="clear" w:pos="1134"/>
          <w:tab w:val="left" w:pos="809" w:leader="none"/>
        </w:tabs>
        <w:bidi w:val="0"/>
        <w:spacing w:before="100" w:after="0"/>
        <w:ind w:hanging="283" w:start="809"/>
        <w:jc w:val="start"/>
        <w:rPr/>
      </w:pPr>
      <w:r>
        <w:rPr/>
        <w:t xml:space="preserve">评估治理型商业智能升级项的阻塞事项，确定本轮解决或延后。 </w:t>
      </w:r>
    </w:p>
    <w:p>
      <w:pPr>
        <w:pStyle w:val="BodyText"/>
        <w:keepLines w:val="false"/>
        <w:numPr>
          <w:ilvl w:val="0"/>
          <w:numId w:val="1"/>
        </w:numPr>
        <w:tabs>
          <w:tab w:val="clear" w:pos="1134"/>
          <w:tab w:val="left" w:pos="809" w:leader="none"/>
        </w:tabs>
        <w:bidi w:val="0"/>
        <w:ind w:hanging="283" w:start="809"/>
        <w:jc w:val="start"/>
        <w:rPr/>
      </w:pPr>
      <w:r>
        <w:rPr/>
        <w:t xml:space="preserve">跟进客户侧待确认事项：保密标准条款目录、口令策略具体数值、测评证据包格式要求。 </w:t>
      </w:r>
    </w:p>
    <w:p>
      <w:pPr>
        <w:pStyle w:val="Heading2"/>
        <w:keepLines w:val="false"/>
        <w:bidi w:val="0"/>
        <w:ind w:hanging="0" w:start="0" w:end="0"/>
        <w:jc w:val="start"/>
        <w:rPr/>
      </w:pPr>
      <w:r>
        <w:rPr/>
        <w:t xml:space="preserve">四、测试问题清单</w:t>
      </w:r>
    </w:p>
    <w:tbl>
      <w:tblPr>
        <w:tblW w:w="4400" w:type="pct"/>
        <w:jc w:val="center"/>
        <w:tblInd w:w="0" w:type="dxa"/>
        <w:tblLayout w:type="fixed"/>
        <w:tblCellMar>
          <w:top w:w="28" w:type="dxa"/>
          <w:start w:w="28" w:type="dxa"/>
          <w:bottom w:w="28" w:type="dxa"/>
          <w:end w:w="28" w:type="dxa"/>
        </w:tblCellMar>
      </w:tblPr>
      <w:tblGrid>
        <w:gridCol w:w="640"/>
        <w:gridCol w:w="836"/>
        <w:gridCol w:w="1034"/>
        <w:gridCol w:w="4601"/>
        <w:gridCol w:w="2867"/>
      </w:tblGrid>
      <w:tr>
        <w:trPr>
          <w:tblHeader w:val="true"/>
          <w:cantSplit w:val="true"/>
        </w:trPr>
        <w:tc>
          <w:tcPr>
            <w:tcW w:w="640" w:type="dxa"/>
            <w:tcBorders/>
            <w:vAlign w:val="center"/>
          </w:tcPr>
          <w:p>
            <w:pPr>
              <w:pStyle w:val="TableHeading"/>
              <w:bidi w:val="0"/>
              <w:spacing w:before="100" w:after="100"/>
              <w:jc w:val="center"/>
              <w:rPr/>
            </w:pPr>
            <w:r>
              <w:rPr/>
              <w:t xml:space="preserve">编号</w:t>
            </w:r>
          </w:p>
        </w:tc>
        <w:tc>
          <w:tcPr>
            <w:tcW w:w="836" w:type="dxa"/>
            <w:tcBorders/>
            <w:vAlign w:val="center"/>
          </w:tcPr>
          <w:p>
            <w:pPr>
              <w:pStyle w:val="TableHeading"/>
              <w:bidi w:val="0"/>
              <w:spacing w:before="100" w:after="100"/>
              <w:jc w:val="center"/>
              <w:rPr/>
            </w:pPr>
            <w:r>
              <w:rPr/>
              <w:t xml:space="preserve">优先级</w:t>
            </w:r>
          </w:p>
        </w:tc>
        <w:tc>
          <w:tcPr>
            <w:tcW w:w="1034" w:type="dxa"/>
            <w:tcBorders/>
            <w:vAlign w:val="center"/>
          </w:tcPr>
          <w:p>
            <w:pPr>
              <w:pStyle w:val="TableHeading"/>
              <w:bidi w:val="0"/>
              <w:spacing w:before="100" w:after="100"/>
              <w:jc w:val="center"/>
              <w:rPr/>
            </w:pPr>
            <w:r>
              <w:rPr/>
              <w:t xml:space="preserve">模块</w:t>
            </w:r>
          </w:p>
        </w:tc>
        <w:tc>
          <w:tcPr>
            <w:tcW w:w="4601" w:type="dxa"/>
            <w:tcBorders/>
            <w:vAlign w:val="center"/>
          </w:tcPr>
          <w:p>
            <w:pPr>
              <w:pStyle w:val="TableHeading"/>
              <w:bidi w:val="0"/>
              <w:spacing w:before="100" w:after="100"/>
              <w:jc w:val="center"/>
              <w:rPr/>
            </w:pPr>
            <w:r>
              <w:rPr/>
              <w:t xml:space="preserve">问题或验收缺口</w:t>
            </w:r>
          </w:p>
        </w:tc>
        <w:tc>
          <w:tcPr>
            <w:tcW w:w="2867" w:type="dxa"/>
            <w:tcBorders/>
            <w:vAlign w:val="center"/>
          </w:tcPr>
          <w:p>
            <w:pPr>
              <w:pStyle w:val="TableHeading"/>
              <w:bidi w:val="0"/>
              <w:spacing w:before="100" w:after="100"/>
              <w:jc w:val="center"/>
              <w:rPr/>
            </w:pPr>
            <w:r>
              <w:rPr/>
              <w:t xml:space="preserve">处理计划</w:t>
            </w:r>
          </w:p>
        </w:tc>
      </w:tr>
      <w:tr>
        <w:trPr>
          <w:cantSplit w:val="true"/>
        </w:trPr>
        <w:tc>
          <w:tcPr>
            <w:tcW w:w="640" w:type="dxa"/>
            <w:tcBorders/>
            <w:vAlign w:val="center"/>
          </w:tcPr>
          <w:p>
            <w:pPr>
              <w:pStyle w:val="TableContents"/>
              <w:bidi w:val="0"/>
              <w:spacing w:before="100" w:after="100"/>
              <w:jc w:val="center"/>
              <w:rPr/>
            </w:pPr>
            <w:r>
              <w:rPr/>
              <w:t xml:space="preserve">T-01</w:t>
            </w:r>
          </w:p>
        </w:tc>
        <w:tc>
          <w:tcPr>
            <w:tcW w:w="836" w:type="dxa"/>
            <w:tcBorders/>
            <w:vAlign w:val="center"/>
          </w:tcPr>
          <w:p>
            <w:pPr>
              <w:pStyle w:val="TableContents"/>
              <w:bidi w:val="0"/>
              <w:spacing w:before="100" w:after="100"/>
              <w:jc w:val="start"/>
              <w:rPr/>
            </w:pPr>
            <w:r>
              <w:rPr/>
              <w:t xml:space="preserve">P0</w:t>
            </w:r>
          </w:p>
        </w:tc>
        <w:tc>
          <w:tcPr>
            <w:tcW w:w="1034" w:type="dxa"/>
            <w:tcBorders/>
            <w:vAlign w:val="center"/>
          </w:tcPr>
          <w:p>
            <w:pPr>
              <w:pStyle w:val="TableContents"/>
              <w:bidi w:val="0"/>
              <w:spacing w:before="100" w:after="100"/>
              <w:jc w:val="start"/>
              <w:rPr/>
            </w:pPr>
            <w:r>
              <w:rPr/>
              <w:t xml:space="preserve">安全合规</w:t>
            </w:r>
          </w:p>
        </w:tc>
        <w:tc>
          <w:tcPr>
            <w:tcW w:w="4601" w:type="dxa"/>
            <w:tcBorders/>
            <w:vAlign w:val="center"/>
          </w:tcPr>
          <w:p>
            <w:pPr>
              <w:pStyle w:val="TableContents"/>
              <w:bidi w:val="0"/>
              <w:spacing w:before="100" w:after="100"/>
              <w:jc w:val="start"/>
              <w:rPr/>
            </w:pPr>
            <w:r>
              <w:rPr/>
              <w:t xml:space="preserve">统一认证尚未配置口令复杂度策略，登录失败锁定未启用，机密级测评基础控制项不可证明。</w:t>
            </w:r>
          </w:p>
        </w:tc>
        <w:tc>
          <w:tcPr>
            <w:tcW w:w="2867" w:type="dxa"/>
            <w:tcBorders/>
            <w:vAlign w:val="center"/>
          </w:tcPr>
          <w:p>
            <w:pPr>
              <w:pStyle w:val="TableContents"/>
              <w:bidi w:val="0"/>
              <w:spacing w:before="100" w:after="100"/>
              <w:jc w:val="start"/>
              <w:rPr/>
            </w:pPr>
            <w:r>
              <w:rPr/>
              <w:t xml:space="preserve">下周完成配置并补充实测证据。</w:t>
            </w:r>
          </w:p>
        </w:tc>
      </w:tr>
      <w:tr>
        <w:trPr>
          <w:cantSplit w:val="true"/>
        </w:trPr>
        <w:tc>
          <w:tcPr>
            <w:tcW w:w="640" w:type="dxa"/>
            <w:tcBorders/>
            <w:vAlign w:val="center"/>
          </w:tcPr>
          <w:p>
            <w:pPr>
              <w:pStyle w:val="TableContents"/>
              <w:bidi w:val="0"/>
              <w:spacing w:before="100" w:after="100"/>
              <w:jc w:val="center"/>
              <w:rPr/>
            </w:pPr>
            <w:r>
              <w:rPr/>
              <w:t xml:space="preserve">T-02</w:t>
            </w:r>
          </w:p>
        </w:tc>
        <w:tc>
          <w:tcPr>
            <w:tcW w:w="836" w:type="dxa"/>
            <w:tcBorders/>
            <w:vAlign w:val="center"/>
          </w:tcPr>
          <w:p>
            <w:pPr>
              <w:pStyle w:val="TableContents"/>
              <w:bidi w:val="0"/>
              <w:spacing w:before="100" w:after="100"/>
              <w:jc w:val="start"/>
              <w:rPr/>
            </w:pPr>
            <w:r>
              <w:rPr/>
              <w:t xml:space="preserve">P0</w:t>
            </w:r>
          </w:p>
        </w:tc>
        <w:tc>
          <w:tcPr>
            <w:tcW w:w="1034" w:type="dxa"/>
            <w:tcBorders/>
            <w:vAlign w:val="center"/>
          </w:tcPr>
          <w:p>
            <w:pPr>
              <w:pStyle w:val="TableContents"/>
              <w:bidi w:val="0"/>
              <w:spacing w:before="100" w:after="100"/>
              <w:jc w:val="start"/>
              <w:rPr/>
            </w:pPr>
            <w:r>
              <w:rPr/>
              <w:t xml:space="preserve">安全合规</w:t>
            </w:r>
          </w:p>
        </w:tc>
        <w:tc>
          <w:tcPr>
            <w:tcW w:w="4601" w:type="dxa"/>
            <w:tcBorders/>
            <w:vAlign w:val="center"/>
          </w:tcPr>
          <w:p>
            <w:pPr>
              <w:pStyle w:val="TableContents"/>
              <w:bidi w:val="0"/>
              <w:spacing w:before="100" w:after="100"/>
              <w:jc w:val="start"/>
              <w:rPr/>
            </w:pPr>
            <w:r>
              <w:rPr/>
              <w:t xml:space="preserve">缺少保密标准条款符合性映射与测评整改台账，测评现场无法逐条举证。</w:t>
            </w:r>
          </w:p>
        </w:tc>
        <w:tc>
          <w:tcPr>
            <w:tcW w:w="2867" w:type="dxa"/>
            <w:tcBorders/>
            <w:vAlign w:val="center"/>
          </w:tcPr>
          <w:p>
            <w:pPr>
              <w:pStyle w:val="TableContents"/>
              <w:bidi w:val="0"/>
              <w:spacing w:before="100" w:after="100"/>
              <w:jc w:val="start"/>
              <w:rPr/>
            </w:pPr>
            <w:r>
              <w:rPr/>
              <w:t xml:space="preserve">扩展现有安全基线能力，条款目录待客户提供。</w:t>
            </w:r>
          </w:p>
        </w:tc>
      </w:tr>
      <w:tr>
        <w:trPr>
          <w:cantSplit w:val="true"/>
        </w:trPr>
        <w:tc>
          <w:tcPr>
            <w:tcW w:w="640" w:type="dxa"/>
            <w:tcBorders/>
            <w:vAlign w:val="center"/>
          </w:tcPr>
          <w:p>
            <w:pPr>
              <w:pStyle w:val="TableContents"/>
              <w:bidi w:val="0"/>
              <w:spacing w:before="100" w:after="100"/>
              <w:jc w:val="center"/>
              <w:rPr/>
            </w:pPr>
            <w:r>
              <w:rPr/>
              <w:t xml:space="preserve">T-03</w:t>
            </w:r>
          </w:p>
        </w:tc>
        <w:tc>
          <w:tcPr>
            <w:tcW w:w="836" w:type="dxa"/>
            <w:tcBorders/>
            <w:vAlign w:val="center"/>
          </w:tcPr>
          <w:p>
            <w:pPr>
              <w:pStyle w:val="TableContents"/>
              <w:bidi w:val="0"/>
              <w:spacing w:before="100" w:after="100"/>
              <w:jc w:val="start"/>
              <w:rPr/>
            </w:pPr>
            <w:r>
              <w:rPr/>
              <w:t xml:space="preserve">P0</w:t>
            </w:r>
          </w:p>
        </w:tc>
        <w:tc>
          <w:tcPr>
            <w:tcW w:w="1034" w:type="dxa"/>
            <w:tcBorders/>
            <w:vAlign w:val="center"/>
          </w:tcPr>
          <w:p>
            <w:pPr>
              <w:pStyle w:val="TableContents"/>
              <w:bidi w:val="0"/>
              <w:spacing w:before="100" w:after="100"/>
              <w:jc w:val="start"/>
              <w:rPr/>
            </w:pPr>
            <w:r>
              <w:rPr/>
              <w:t xml:space="preserve">数据安全</w:t>
            </w:r>
          </w:p>
        </w:tc>
        <w:tc>
          <w:tcPr>
            <w:tcW w:w="4601" w:type="dxa"/>
            <w:tcBorders/>
            <w:vAlign w:val="center"/>
          </w:tcPr>
          <w:p>
            <w:pPr>
              <w:pStyle w:val="TableContents"/>
              <w:bidi w:val="0"/>
              <w:spacing w:before="100" w:after="100"/>
              <w:jc w:val="start"/>
              <w:rPr/>
            </w:pPr>
            <w:r>
              <w:rPr/>
              <w:t xml:space="preserve">无敏感数据自动识别能力，脱敏规则依赖人工逐个标注。</w:t>
            </w:r>
          </w:p>
        </w:tc>
        <w:tc>
          <w:tcPr>
            <w:tcW w:w="2867" w:type="dxa"/>
            <w:tcBorders/>
            <w:vAlign w:val="center"/>
          </w:tcPr>
          <w:p>
            <w:pPr>
              <w:pStyle w:val="TableContents"/>
              <w:bidi w:val="0"/>
              <w:spacing w:before="100" w:after="100"/>
              <w:jc w:val="start"/>
              <w:rPr/>
            </w:pPr>
            <w:r>
              <w:rPr/>
              <w:t xml:space="preserve">建设识别规则库与扫描能力，结果确认后生成脱敏规则。</w:t>
            </w:r>
          </w:p>
        </w:tc>
      </w:tr>
      <w:tr>
        <w:trPr>
          <w:cantSplit w:val="true"/>
        </w:trPr>
        <w:tc>
          <w:tcPr>
            <w:tcW w:w="640" w:type="dxa"/>
            <w:tcBorders/>
            <w:vAlign w:val="center"/>
          </w:tcPr>
          <w:p>
            <w:pPr>
              <w:pStyle w:val="TableContents"/>
              <w:bidi w:val="0"/>
              <w:spacing w:before="100" w:after="100"/>
              <w:jc w:val="center"/>
              <w:rPr/>
            </w:pPr>
            <w:r>
              <w:rPr/>
              <w:t xml:space="preserve">T-04</w:t>
            </w:r>
          </w:p>
        </w:tc>
        <w:tc>
          <w:tcPr>
            <w:tcW w:w="836" w:type="dxa"/>
            <w:tcBorders/>
            <w:vAlign w:val="center"/>
          </w:tcPr>
          <w:p>
            <w:pPr>
              <w:pStyle w:val="TableContents"/>
              <w:bidi w:val="0"/>
              <w:spacing w:before="100" w:after="100"/>
              <w:jc w:val="start"/>
              <w:rPr/>
            </w:pPr>
            <w:r>
              <w:rPr/>
              <w:t xml:space="preserve">P0</w:t>
            </w:r>
          </w:p>
        </w:tc>
        <w:tc>
          <w:tcPr>
            <w:tcW w:w="1034" w:type="dxa"/>
            <w:tcBorders/>
            <w:vAlign w:val="center"/>
          </w:tcPr>
          <w:p>
            <w:pPr>
              <w:pStyle w:val="TableContents"/>
              <w:bidi w:val="0"/>
              <w:spacing w:before="100" w:after="100"/>
              <w:jc w:val="start"/>
              <w:rPr/>
            </w:pPr>
            <w:r>
              <w:rPr/>
              <w:t xml:space="preserve">监控告警</w:t>
            </w:r>
          </w:p>
        </w:tc>
        <w:tc>
          <w:tcPr>
            <w:tcW w:w="4601" w:type="dxa"/>
            <w:tcBorders/>
            <w:vAlign w:val="center"/>
          </w:tcPr>
          <w:p>
            <w:pPr>
              <w:pStyle w:val="TableContents"/>
              <w:bidi w:val="0"/>
              <w:spacing w:before="100" w:after="100"/>
              <w:jc w:val="start"/>
              <w:rPr/>
            </w:pPr>
            <w:r>
              <w:rPr/>
              <w:t xml:space="preserve">无自定义告警规则与告警组件，系统异常依赖人工发现。</w:t>
            </w:r>
          </w:p>
        </w:tc>
        <w:tc>
          <w:tcPr>
            <w:tcW w:w="2867" w:type="dxa"/>
            <w:tcBorders/>
            <w:vAlign w:val="center"/>
          </w:tcPr>
          <w:p>
            <w:pPr>
              <w:pStyle w:val="TableContents"/>
              <w:bidi w:val="0"/>
              <w:spacing w:before="100" w:after="100"/>
              <w:jc w:val="start"/>
              <w:rPr/>
            </w:pPr>
            <w:r>
              <w:rPr/>
              <w:t xml:space="preserve">部署监控告警组件并定义规则集。</w:t>
            </w:r>
          </w:p>
        </w:tc>
      </w:tr>
      <w:tr>
        <w:trPr>
          <w:cantSplit w:val="true"/>
        </w:trPr>
        <w:tc>
          <w:tcPr>
            <w:tcW w:w="640" w:type="dxa"/>
            <w:tcBorders/>
            <w:vAlign w:val="center"/>
          </w:tcPr>
          <w:p>
            <w:pPr>
              <w:pStyle w:val="TableContents"/>
              <w:bidi w:val="0"/>
              <w:spacing w:before="100" w:after="100"/>
              <w:jc w:val="center"/>
              <w:rPr/>
            </w:pPr>
            <w:r>
              <w:rPr/>
              <w:t xml:space="preserve">T-05</w:t>
            </w:r>
          </w:p>
        </w:tc>
        <w:tc>
          <w:tcPr>
            <w:tcW w:w="836" w:type="dxa"/>
            <w:tcBorders/>
            <w:vAlign w:val="center"/>
          </w:tcPr>
          <w:p>
            <w:pPr>
              <w:pStyle w:val="TableContents"/>
              <w:bidi w:val="0"/>
              <w:spacing w:before="100" w:after="100"/>
              <w:jc w:val="start"/>
              <w:rPr/>
            </w:pPr>
            <w:r>
              <w:rPr/>
              <w:t xml:space="preserve">P0</w:t>
            </w:r>
          </w:p>
        </w:tc>
        <w:tc>
          <w:tcPr>
            <w:tcW w:w="1034" w:type="dxa"/>
            <w:tcBorders/>
            <w:vAlign w:val="center"/>
          </w:tcPr>
          <w:p>
            <w:pPr>
              <w:pStyle w:val="TableContents"/>
              <w:bidi w:val="0"/>
              <w:spacing w:before="100" w:after="100"/>
              <w:jc w:val="start"/>
              <w:rPr/>
            </w:pPr>
            <w:r>
              <w:rPr/>
              <w:t xml:space="preserve">浏览器兼容</w:t>
            </w:r>
          </w:p>
        </w:tc>
        <w:tc>
          <w:tcPr>
            <w:tcW w:w="4601" w:type="dxa"/>
            <w:tcBorders/>
            <w:vAlign w:val="center"/>
          </w:tcPr>
          <w:p>
            <w:pPr>
              <w:pStyle w:val="TableContents"/>
              <w:bidi w:val="0"/>
              <w:spacing w:before="100" w:after="100"/>
              <w:jc w:val="start"/>
              <w:rPr/>
            </w:pPr>
            <w:r>
              <w:rPr/>
              <w:t xml:space="preserve">多个页面仅完成构建与静态检查，缺少登录态下的真实浏览器截图与控制台证据。</w:t>
            </w:r>
          </w:p>
        </w:tc>
        <w:tc>
          <w:tcPr>
            <w:tcW w:w="2867" w:type="dxa"/>
            <w:tcBorders/>
            <w:vAlign w:val="center"/>
          </w:tcPr>
          <w:p>
            <w:pPr>
              <w:pStyle w:val="TableContents"/>
              <w:bidi w:val="0"/>
              <w:spacing w:before="100" w:after="100"/>
              <w:jc w:val="start"/>
              <w:rPr/>
            </w:pPr>
            <w:r>
              <w:rPr/>
              <w:t xml:space="preserve">先完成交付基线核验，再集中执行一次真实浏览器回归。</w:t>
            </w:r>
          </w:p>
        </w:tc>
      </w:tr>
      <w:tr>
        <w:trPr>
          <w:cantSplit w:val="true"/>
        </w:trPr>
        <w:tc>
          <w:tcPr>
            <w:tcW w:w="640" w:type="dxa"/>
            <w:tcBorders/>
            <w:vAlign w:val="center"/>
          </w:tcPr>
          <w:p>
            <w:pPr>
              <w:pStyle w:val="TableContents"/>
              <w:bidi w:val="0"/>
              <w:spacing w:before="100" w:after="100"/>
              <w:jc w:val="center"/>
              <w:rPr/>
            </w:pPr>
            <w:r>
              <w:rPr/>
              <w:t xml:space="preserve">T-06</w:t>
            </w:r>
          </w:p>
        </w:tc>
        <w:tc>
          <w:tcPr>
            <w:tcW w:w="836" w:type="dxa"/>
            <w:tcBorders/>
            <w:vAlign w:val="center"/>
          </w:tcPr>
          <w:p>
            <w:pPr>
              <w:pStyle w:val="TableContents"/>
              <w:bidi w:val="0"/>
              <w:spacing w:before="100" w:after="100"/>
              <w:jc w:val="start"/>
              <w:rPr/>
            </w:pPr>
            <w:r>
              <w:rPr/>
              <w:t xml:space="preserve">P1</w:t>
            </w:r>
          </w:p>
        </w:tc>
        <w:tc>
          <w:tcPr>
            <w:tcW w:w="1034" w:type="dxa"/>
            <w:tcBorders/>
            <w:vAlign w:val="center"/>
          </w:tcPr>
          <w:p>
            <w:pPr>
              <w:pStyle w:val="TableContents"/>
              <w:bidi w:val="0"/>
              <w:spacing w:before="100" w:after="100"/>
              <w:jc w:val="start"/>
              <w:rPr/>
            </w:pPr>
            <w:r>
              <w:rPr/>
              <w:t xml:space="preserve">商业智能</w:t>
            </w:r>
          </w:p>
        </w:tc>
        <w:tc>
          <w:tcPr>
            <w:tcW w:w="4601" w:type="dxa"/>
            <w:tcBorders/>
            <w:vAlign w:val="center"/>
          </w:tcPr>
          <w:p>
            <w:pPr>
              <w:pStyle w:val="TableContents"/>
              <w:bidi w:val="0"/>
              <w:spacing w:before="100" w:after="100"/>
              <w:jc w:val="start"/>
              <w:rPr/>
            </w:pPr>
            <w:r>
              <w:rPr/>
              <w:t xml:space="preserve">看板发布闭环的容器环境真实发布验收尚未执行。</w:t>
            </w:r>
          </w:p>
        </w:tc>
        <w:tc>
          <w:tcPr>
            <w:tcW w:w="2867" w:type="dxa"/>
            <w:tcBorders/>
            <w:vAlign w:val="center"/>
          </w:tcPr>
          <w:p>
            <w:pPr>
              <w:pStyle w:val="TableContents"/>
              <w:bidi w:val="0"/>
              <w:spacing w:before="100" w:after="100"/>
              <w:jc w:val="start"/>
              <w:rPr/>
            </w:pPr>
            <w:r>
              <w:rPr/>
              <w:t xml:space="preserve">下周在目标环境完成发布与回滚验证。</w:t>
            </w:r>
          </w:p>
        </w:tc>
      </w:tr>
      <w:tr>
        <w:trPr>
          <w:cantSplit w:val="true"/>
        </w:trPr>
        <w:tc>
          <w:tcPr>
            <w:tcW w:w="640" w:type="dxa"/>
            <w:tcBorders/>
            <w:vAlign w:val="center"/>
          </w:tcPr>
          <w:p>
            <w:pPr>
              <w:pStyle w:val="TableContents"/>
              <w:bidi w:val="0"/>
              <w:spacing w:before="100" w:after="100"/>
              <w:jc w:val="center"/>
              <w:rPr/>
            </w:pPr>
            <w:r>
              <w:rPr/>
              <w:t xml:space="preserve">T-07</w:t>
            </w:r>
          </w:p>
        </w:tc>
        <w:tc>
          <w:tcPr>
            <w:tcW w:w="836" w:type="dxa"/>
            <w:tcBorders/>
            <w:vAlign w:val="center"/>
          </w:tcPr>
          <w:p>
            <w:pPr>
              <w:pStyle w:val="TableContents"/>
              <w:bidi w:val="0"/>
              <w:spacing w:before="100" w:after="100"/>
              <w:jc w:val="start"/>
              <w:rPr/>
            </w:pPr>
            <w:r>
              <w:rPr/>
              <w:t xml:space="preserve">P1</w:t>
            </w:r>
          </w:p>
        </w:tc>
        <w:tc>
          <w:tcPr>
            <w:tcW w:w="1034" w:type="dxa"/>
            <w:tcBorders/>
            <w:vAlign w:val="center"/>
          </w:tcPr>
          <w:p>
            <w:pPr>
              <w:pStyle w:val="TableContents"/>
              <w:bidi w:val="0"/>
              <w:spacing w:before="100" w:after="100"/>
              <w:jc w:val="start"/>
              <w:rPr/>
            </w:pPr>
            <w:r>
              <w:rPr/>
              <w:t xml:space="preserve">数据管理</w:t>
            </w:r>
          </w:p>
        </w:tc>
        <w:tc>
          <w:tcPr>
            <w:tcW w:w="4601" w:type="dxa"/>
            <w:tcBorders/>
            <w:vAlign w:val="center"/>
          </w:tcPr>
          <w:p>
            <w:pPr>
              <w:pStyle w:val="TableContents"/>
              <w:bidi w:val="0"/>
              <w:spacing w:before="100" w:after="100"/>
              <w:jc w:val="start"/>
              <w:rPr/>
            </w:pPr>
            <w:r>
              <w:rPr/>
              <w:t xml:space="preserve">数据生命周期仍只有归档、处置、延长保留三类，缺少临时销毁与永久销毁双态及回收站还原。</w:t>
            </w:r>
          </w:p>
        </w:tc>
        <w:tc>
          <w:tcPr>
            <w:tcW w:w="2867" w:type="dxa"/>
            <w:tcBorders/>
            <w:vAlign w:val="center"/>
          </w:tcPr>
          <w:p>
            <w:pPr>
              <w:pStyle w:val="TableContents"/>
              <w:bidi w:val="0"/>
              <w:spacing w:before="100" w:after="100"/>
              <w:jc w:val="start"/>
              <w:rPr/>
            </w:pPr>
            <w:r>
              <w:rPr/>
              <w:t xml:space="preserve">非审批部分排入下一期，审批部分待客户审批模型确定。</w:t>
            </w:r>
          </w:p>
        </w:tc>
      </w:tr>
      <w:tr>
        <w:trPr>
          <w:cantSplit w:val="true"/>
        </w:trPr>
        <w:tc>
          <w:tcPr>
            <w:tcW w:w="640" w:type="dxa"/>
            <w:tcBorders/>
            <w:vAlign w:val="center"/>
          </w:tcPr>
          <w:p>
            <w:pPr>
              <w:pStyle w:val="TableContents"/>
              <w:bidi w:val="0"/>
              <w:spacing w:before="100" w:after="100"/>
              <w:jc w:val="center"/>
              <w:rPr/>
            </w:pPr>
            <w:r>
              <w:rPr/>
              <w:t xml:space="preserve">T-08</w:t>
            </w:r>
          </w:p>
        </w:tc>
        <w:tc>
          <w:tcPr>
            <w:tcW w:w="836" w:type="dxa"/>
            <w:tcBorders/>
            <w:vAlign w:val="center"/>
          </w:tcPr>
          <w:p>
            <w:pPr>
              <w:pStyle w:val="TableContents"/>
              <w:bidi w:val="0"/>
              <w:spacing w:before="100" w:after="100"/>
              <w:jc w:val="start"/>
              <w:rPr/>
            </w:pPr>
            <w:r>
              <w:rPr/>
              <w:t xml:space="preserve">P1</w:t>
            </w:r>
          </w:p>
        </w:tc>
        <w:tc>
          <w:tcPr>
            <w:tcW w:w="1034" w:type="dxa"/>
            <w:tcBorders/>
            <w:vAlign w:val="center"/>
          </w:tcPr>
          <w:p>
            <w:pPr>
              <w:pStyle w:val="TableContents"/>
              <w:bidi w:val="0"/>
              <w:spacing w:before="100" w:after="100"/>
              <w:jc w:val="start"/>
              <w:rPr/>
            </w:pPr>
            <w:r>
              <w:rPr/>
              <w:t xml:space="preserve">非功能</w:t>
            </w:r>
          </w:p>
        </w:tc>
        <w:tc>
          <w:tcPr>
            <w:tcW w:w="4601" w:type="dxa"/>
            <w:tcBorders/>
            <w:vAlign w:val="center"/>
          </w:tcPr>
          <w:p>
            <w:pPr>
              <w:pStyle w:val="TableContents"/>
              <w:bidi w:val="0"/>
              <w:spacing w:before="100" w:after="100"/>
              <w:jc w:val="start"/>
              <w:rPr/>
            </w:pPr>
            <w:r>
              <w:rPr/>
              <w:t xml:space="preserve">全部服务为单节点部署，且缺少覆盖协议性能指标的统一压测报告。</w:t>
            </w:r>
          </w:p>
        </w:tc>
        <w:tc>
          <w:tcPr>
            <w:tcW w:w="2867" w:type="dxa"/>
            <w:tcBorders/>
            <w:vAlign w:val="center"/>
          </w:tcPr>
          <w:p>
            <w:pPr>
              <w:pStyle w:val="TableContents"/>
              <w:bidi w:val="0"/>
              <w:spacing w:before="100" w:after="100"/>
              <w:jc w:val="start"/>
              <w:rPr/>
            </w:pPr>
            <w:r>
              <w:rPr/>
              <w:t xml:space="preserve">需环境资源支持，单独排期。</w:t>
            </w:r>
          </w:p>
        </w:tc>
      </w:tr>
    </w:tbl>
    <w:p>
      <w:pPr>
        <w:pStyle w:val="BodyTextfooter-note"/>
        <w:bidi w:val="0"/>
        <w:spacing w:before="320" w:after="100"/>
        <w:jc w:val="start"/>
        <w:rPr/>
      </w:pPr>
      <w:r>
        <w:rPr/>
        <w:t xml:space="preserve">说明：以上工作内容依据本周代码提交、方案文档与复核记录整理。缺口结论均以源码实测为准，未采用文档声明状态；标注为待验收的项目需在正式验收前于真实环境再次确认。</w:t>
      </w:r>
    </w:p>
    <w:sectPr>
      <w:type w:val="nextPage"/>
      <w:pgSz w:w="11906" w:h="16838"/>
      <w:pgMar w:left="1020" w:right="1020"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icrosoft YaHei">
    <w:altName w:val="Noto Sans CJK SC"/>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96"/>
    </w:pPr>
    <w:rPr>
      <w:rFonts w:ascii="Microsoft YaHei;Noto Sans CJK SC;SimSun;sans-serif" w:hAnsi="Microsoft YaHei;Noto Sans CJK SC;SimSun;sans-serif" w:eastAsia="Microsoft YaHei;Noto Sans CJK SC;SimSun;sans-serif" w:cs="Microsoft YaHei;Noto Sans CJK SC;SimSun;sans-serif"/>
      <w:color w:val="1F2937"/>
      <w:sz w:val="21"/>
      <w:szCs w:val="21"/>
      <w:lang w:val="en-US" w:eastAsia="zh-CN" w:bidi="hi-IN"/>
    </w:rPr>
  </w:style>
  <w:style w:type="paragraph" w:styleId="Heading1">
    <w:name w:val="Heading 1"/>
    <w:basedOn w:val="Heading"/>
    <w:next w:val="BodyText"/>
    <w:qFormat/>
    <w:pPr>
      <w:spacing w:before="360" w:after="160"/>
      <w:ind w:start="360" w:end="360"/>
      <w:jc w:val="center"/>
    </w:pPr>
    <w:rPr>
      <w:rFonts w:ascii="Noto Sans" w:hAnsi="Noto Sans"/>
      <w:b/>
      <w:bCs/>
      <w:color w:val="17365D"/>
      <w:spacing w:val="20"/>
      <w:sz w:val="44"/>
      <w:szCs w:val="44"/>
    </w:rPr>
  </w:style>
  <w:style w:type="paragraph" w:styleId="Heading2">
    <w:name w:val="Heading 2"/>
    <w:basedOn w:val="Heading"/>
    <w:next w:val="BodyText"/>
    <w:qFormat/>
    <w:pPr>
      <w:pBdr>
        <w:bottom w:val="single" w:sz="6" w:space="4" w:color="5B9BD5"/>
      </w:pBdr>
      <w:spacing w:before="360" w:after="200"/>
      <w:ind w:start="360" w:end="360"/>
      <w:outlineLvl w:val="1"/>
    </w:pPr>
    <w:rPr>
      <w:rFonts w:ascii="Liberation Serif" w:hAnsi="Liberation Serif" w:eastAsia="Noto Serif CJK SC" w:cs="Noto Sans Devanagari"/>
      <w:b/>
      <w:bCs/>
      <w:color w:val="17365D"/>
      <w:sz w:val="30"/>
      <w:szCs w:val="30"/>
    </w:rPr>
  </w:style>
  <w:style w:type="paragraph" w:styleId="Heading3">
    <w:name w:val="Heading 3"/>
    <w:basedOn w:val="Heading"/>
    <w:next w:val="BodyText"/>
    <w:qFormat/>
    <w:pPr>
      <w:spacing w:before="260" w:after="100"/>
      <w:ind w:start="260" w:end="260"/>
      <w:outlineLvl w:val="2"/>
    </w:pPr>
    <w:rPr>
      <w:rFonts w:ascii="Liberation Serif" w:hAnsi="Liberation Serif" w:eastAsia="Noto Serif CJK SC" w:cs="Noto Sans Devanagari"/>
      <w:b/>
      <w:bCs/>
      <w:color w:val="2F5597"/>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00" w:after="100"/>
      <w:ind w:start="100" w:end="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spacing w:before="100" w:after="360"/>
      <w:jc w:val="center"/>
    </w:pPr>
    <w:rPr>
      <w:color w:val="475569"/>
      <w:sz w:val="22"/>
      <w:szCs w:val="22"/>
    </w:rPr>
  </w:style>
  <w:style w:type="paragraph" w:styleId="TableHeading">
    <w:name w:val="Table Heading"/>
    <w:basedOn w:val="TableContents"/>
    <w:qFormat/>
    <w:pPr>
      <w:suppressLineNumbers/>
      <w:jc w:val="center"/>
    </w:pPr>
    <w:rPr>
      <w:b/>
      <w:bCs/>
    </w:rPr>
  </w:style>
  <w:style w:type="paragraph" w:styleId="BodyTextfooter-note">
    <w:name w:val="Body Text.footer-note"/>
    <w:basedOn w:val="BodyText"/>
    <w:qFormat/>
    <w:pPr>
      <w:pBdr>
        <w:top w:val="single" w:sz="2" w:space="7" w:color="CBD5E1"/>
      </w:pBdr>
      <w:spacing w:before="320" w:after="100"/>
    </w:pPr>
    <w:rPr>
      <w:color w:val="64748B"/>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DTS v2.2.3 周报（2026年8月17日—8月21日）</dc:title>
</cp:coreProperties>
</file>

<file path=docProps/custom.xml><?xml version="1.0" encoding="utf-8"?>
<Properties xmlns="http://schemas.openxmlformats.org/officeDocument/2006/custom-properties" xmlns:vt="http://schemas.openxmlformats.org/officeDocument/2006/docPropsVTypes"/>
</file>