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  <w:spacing w:before="0" w:after="240"/>
      </w:pPr>
      <w:r>
        <w:rPr>
          <w:b/>
          <w:bCs/>
          <w:sz w:val="56"/>
          <w:szCs w:val="56"/>
        </w:rPr>
        <w:t xml:space="preserve">数据管理平台设计方案</w:t>
      </w:r>
    </w:p>
    <w:p>
      <w:pPr>
        <w:jc w:val="center"/>
        <w:spacing w:before="0" w:after="120"/>
      </w:pPr>
      <w:r>
        <w:rPr>
          <w:sz w:val="32"/>
          <w:szCs w:val="32"/>
        </w:rPr>
        <w:t xml:space="preserve">v2.2.3</w:t>
      </w:r>
    </w:p>
    <w:p/>
    <w:p/>
    <w:p/>
    <w:p/>
    <w:p/>
    <w:p/>
    <w:p/>
    <w:p/>
    <w:p>
      <w:pPr>
        <w:jc w:val="center"/>
        <w:spacing w:before="0" w:after="80"/>
      </w:pPr>
      <w:r>
        <w:rPr>
          <w:sz w:val="28"/>
          <w:szCs w:val="28"/>
        </w:rPr>
        <w:t xml:space="preserve">〔编制单位〕</w:t>
      </w:r>
    </w:p>
    <w:p>
      <w:pPr>
        <w:jc w:val="center"/>
        <w:spacing w:before="0" w:after="0"/>
      </w:pPr>
      <w:r>
        <w:rPr>
          <w:sz w:val="28"/>
          <w:szCs w:val="28"/>
        </w:rPr>
        <w:t xml:space="preserve">2026-08-03</w:t>
      </w:r>
    </w:p>
    <w:p>
      <w:pPr>
        <w:pageBreakBefore/>
        <w:jc w:val="center"/>
        <w:spacing w:before="240" w:after="360"/>
      </w:pPr>
      <w:r>
        <w:rPr>
          <w:b/>
          <w:bCs/>
          <w:sz w:val="36"/>
          <w:szCs w:val="36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（打开文档后如未显示目录，请全选后按 F9 更新域）</w:t>
      </w:r>
      <w:r>
        <w:fldChar w:fldCharType="end"/>
      </w:r>
    </w:p>
    <w:p>
      <w:pPr>
        <w:pStyle w:val="Heading1"/>
        <w:pageBreakBefore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pStyle w:val="Heading2"/>
      </w:pPr>
      <w:r>
        <w:t xml:space="preserve">1.2 设计依据与约束</w:t>
      </w:r>
    </w:p>
    <w:p>
      <w:pPr>
        <w:pStyle w:val="Heading2"/>
      </w:pPr>
      <w:r>
        <w:t xml:space="preserve">1.3 术语与缩略语</w:t>
      </w:r>
    </w:p>
    <w:p>
      <w:pPr>
        <w:pStyle w:val="Heading2"/>
      </w:pPr>
      <w:r>
        <w:t xml:space="preserve">1.4 参考资料</w:t>
      </w:r>
    </w:p>
    <w:p>
      <w:pPr>
        <w:pStyle w:val="Heading1"/>
        <w:pageBreakBefore/>
      </w:pPr>
      <w:r>
        <w:t xml:space="preserve">2 设计总则</w:t>
      </w:r>
    </w:p>
    <w:p>
      <w:pPr>
        <w:pStyle w:val="Heading2"/>
      </w:pPr>
      <w:r>
        <w:t xml:space="preserve">2.1 设计原则</w:t>
      </w:r>
    </w:p>
    <w:p>
      <w:pPr>
        <w:pStyle w:val="Heading2"/>
      </w:pPr>
      <w:r>
        <w:t xml:space="preserve">2.2 关键设计决策与取舍（ADR 汇总）</w:t>
      </w:r>
    </w:p>
    <w:p>
      <w:pPr>
        <w:pStyle w:val="Heading2"/>
      </w:pPr>
      <w:r>
        <w:t xml:space="preserve">2.3 分层与边界约定</w:t>
      </w:r>
    </w:p>
    <w:p>
      <w:pPr>
        <w:pStyle w:val="Heading2"/>
      </w:pPr>
      <w:r>
        <w:t xml:space="preserve">2.4 命名、编码与目录规范</w:t>
      </w:r>
    </w:p>
    <w:p>
      <w:pPr>
        <w:pStyle w:val="Heading1"/>
        <w:pageBreakBefore/>
      </w:pPr>
      <w:r>
        <w:t xml:space="preserve">3 总体架构设计</w:t>
      </w:r>
    </w:p>
    <w:p>
      <w:pPr>
        <w:pStyle w:val="Heading2"/>
      </w:pPr>
      <w:r>
        <w:t xml:space="preserve">3.1 逻辑架构</w:t>
      </w:r>
    </w:p>
    <w:p>
      <w:pPr>
        <w:pStyle w:val="Heading2"/>
      </w:pPr>
      <w:r>
        <w:t xml:space="preserve">3.2 技术架构与选型说明</w:t>
      </w:r>
    </w:p>
    <w:p>
      <w:pPr>
        <w:pStyle w:val="Heading2"/>
      </w:pPr>
      <w:r>
        <w:t xml:space="preserve">3.3 物理部署架构</w:t>
      </w:r>
    </w:p>
    <w:p>
      <w:pPr>
        <w:pStyle w:val="Heading2"/>
      </w:pPr>
      <w:r>
        <w:t xml:space="preserve">3.4 服务划分与职责边界</w:t>
      </w:r>
    </w:p>
    <w:p>
      <w:pPr>
        <w:pStyle w:val="Heading3"/>
      </w:pPr>
      <w:r>
        <w:t xml:space="preserve">3.4.1 dts-platform（业务主控制面）</w:t>
      </w:r>
    </w:p>
    <w:p>
      <w:pPr>
        <w:pStyle w:val="Heading3"/>
      </w:pPr>
      <w:r>
        <w:t xml:space="preserve">3.4.2 dts-admin（管理与三员）</w:t>
      </w:r>
    </w:p>
    <w:p>
      <w:pPr>
        <w:pStyle w:val="Heading3"/>
      </w:pPr>
      <w:r>
        <w:t xml:space="preserve">3.4.3 dts-ingestion（数据接入执行）</w:t>
      </w:r>
    </w:p>
    <w:p>
      <w:pPr>
        <w:pStyle w:val="Heading3"/>
      </w:pPr>
      <w:r>
        <w:t xml:space="preserve">3.4.4 dts-analytics（分析与大屏）</w:t>
      </w:r>
    </w:p>
    <w:p>
      <w:pPr>
        <w:pStyle w:val="Heading3"/>
      </w:pPr>
      <w:r>
        <w:t xml:space="preserve">3.4.5 dts-metrics（指标语义）</w:t>
      </w:r>
    </w:p>
    <w:p>
      <w:pPr>
        <w:pStyle w:val="Heading3"/>
      </w:pPr>
      <w:r>
        <w:t xml:space="preserve">3.4.6 dts-common / dts-session-core（公共能力）</w:t>
      </w:r>
    </w:p>
    <w:p>
      <w:pPr>
        <w:pStyle w:val="Heading3"/>
      </w:pPr>
      <w:r>
        <w:t xml:space="preserve">3.4.7 前端应用（platform / admin / analytics / metrics webapp）</w:t>
      </w:r>
    </w:p>
    <w:p>
      <w:pPr>
        <w:pStyle w:val="Heading2"/>
      </w:pPr>
      <w:r>
        <w:t xml:space="preserve">3.5 服务间通信与依赖方向约束</w:t>
      </w:r>
    </w:p>
    <w:p>
      <w:pPr>
        <w:pStyle w:val="Heading1"/>
        <w:pageBreakBefore/>
      </w:pPr>
      <w:r>
        <w:t xml:space="preserve">4 数据架构设计</w:t>
      </w:r>
    </w:p>
    <w:p>
      <w:pPr>
        <w:pStyle w:val="Heading2"/>
      </w:pPr>
      <w:r>
        <w:t xml:space="preserve">4.1 数仓分层设计（ODS / DWD / DWS / ADS）</w:t>
      </w:r>
    </w:p>
    <w:p>
      <w:pPr>
        <w:pStyle w:val="Heading2"/>
      </w:pPr>
      <w:r>
        <w:t xml:space="preserve">4.2 主题域与数据域划分</w:t>
      </w:r>
    </w:p>
    <w:p>
      <w:pPr>
        <w:pStyle w:val="Heading2"/>
      </w:pPr>
      <w:r>
        <w:t xml:space="preserve">4.3 核心数据模型</w:t>
      </w:r>
    </w:p>
    <w:p>
      <w:pPr>
        <w:pStyle w:val="Heading2"/>
      </w:pPr>
      <w:r>
        <w:t xml:space="preserve">4.4 元数据模型与资产身份（CatalogAssetType + CatalogAssetKey）</w:t>
      </w:r>
    </w:p>
    <w:p>
      <w:pPr>
        <w:pStyle w:val="Heading2"/>
      </w:pPr>
      <w:r>
        <w:t xml:space="preserve">4.5 血缘模型</w:t>
      </w:r>
    </w:p>
    <w:p>
      <w:pPr>
        <w:pStyle w:val="Heading2"/>
      </w:pPr>
      <w:r>
        <w:t xml:space="preserve">4.6 数据库选型与国产化适配</w:t>
      </w:r>
    </w:p>
    <w:p>
      <w:pPr>
        <w:pStyle w:val="Heading1"/>
        <w:pageBreakBefore/>
      </w:pPr>
      <w:r>
        <w:t xml:space="preserve">5 核心功能设计</w:t>
      </w:r>
    </w:p>
    <w:p>
      <w:pPr>
        <w:pStyle w:val="Heading3"/>
      </w:pPr>
      <w:r>
        <w:t xml:space="preserve">5.1 数据接入设计</w:t>
      </w:r>
    </w:p>
    <w:p>
      <w:pPr>
        <w:pStyle w:val="Heading2"/>
      </w:pPr>
      <w:r>
        <w:t xml:space="preserve">5.1.1 连接器与驱动管理</w:t>
      </w:r>
    </w:p>
    <w:p>
      <w:pPr>
        <w:pStyle w:val="Heading2"/>
      </w:pPr>
      <w:r>
        <w:t xml:space="preserve">5.1.2 接入任务模型与版本化（Revision）</w:t>
      </w:r>
    </w:p>
    <w:p>
      <w:pPr>
        <w:pStyle w:val="Heading2"/>
      </w:pPr>
      <w:r>
        <w:t xml:space="preserve">5.1.3 同步模式实现（全量 / 水位增量 / 回填）</w:t>
      </w:r>
    </w:p>
    <w:p>
      <w:pPr>
        <w:pStyle w:val="Heading2"/>
      </w:pPr>
      <w:r>
        <w:t xml:space="preserve">5.1.4 Addax 作业生成与 Airflow DAG 编排</w:t>
      </w:r>
    </w:p>
    <w:p>
      <w:pPr>
        <w:pStyle w:val="Heading2"/>
      </w:pPr>
      <w:r>
        <w:t xml:space="preserve">5.1.5 目标表供给与结构漂移处理</w:t>
      </w:r>
    </w:p>
    <w:p>
      <w:pPr>
        <w:pStyle w:val="Heading2"/>
      </w:pPr>
      <w:r>
        <w:t xml:space="preserve">5.1.6 密级封存与文件加密链路</w:t>
      </w:r>
    </w:p>
    <w:p>
      <w:pPr>
        <w:pStyle w:val="Heading3"/>
      </w:pPr>
      <w:r>
        <w:t xml:space="preserve">5.2 建模主链设计</w:t>
      </w:r>
    </w:p>
    <w:p>
      <w:pPr>
        <w:pStyle w:val="Heading2"/>
      </w:pPr>
      <w:r>
        <w:t xml:space="preserve">5.2.1 canonical 建模链总览（WarehousePlan → ModelSpec v2 → StageGate → Lifecycle → Candidate → Materialization → Gateway）</w:t>
      </w:r>
    </w:p>
    <w:p>
      <w:pPr>
        <w:pStyle w:val="Heading2"/>
      </w:pPr>
      <w:r>
        <w:t xml:space="preserve">5.2.2 数仓规划与建设计划</w:t>
      </w:r>
    </w:p>
    <w:p>
      <w:pPr>
        <w:pStyle w:val="Heading2"/>
      </w:pPr>
      <w:r>
        <w:t xml:space="preserve">5.2.3 数据标准与落标</w:t>
      </w:r>
    </w:p>
    <w:p>
      <w:pPr>
        <w:pStyle w:val="Heading2"/>
      </w:pPr>
      <w:r>
        <w:t xml:space="preserve">5.2.4 维度定义与逻辑模型</w:t>
      </w:r>
    </w:p>
    <w:p>
      <w:pPr>
        <w:pStyle w:val="Heading2"/>
      </w:pPr>
      <w:r>
        <w:t xml:space="preserve">5.2.5 模型实现（普通配置 / 高级 dbt）</w:t>
      </w:r>
    </w:p>
    <w:p>
      <w:pPr>
        <w:pStyle w:val="Heading2"/>
      </w:pPr>
      <w:r>
        <w:t xml:space="preserve">5.2.6 阶段门禁 StageGate</w:t>
      </w:r>
    </w:p>
    <w:p>
      <w:pPr>
        <w:pStyle w:val="Heading2"/>
      </w:pPr>
      <w:r>
        <w:t xml:space="preserve">5.2.7 发布候选 ReleaseCandidate 与职责分离</w:t>
      </w:r>
    </w:p>
    <w:p>
      <w:pPr>
        <w:pStyle w:val="Heading2"/>
      </w:pPr>
      <w:r>
        <w:t xml:space="preserve">5.2.8 物化执行与物理资产登记</w:t>
      </w:r>
    </w:p>
    <w:p>
      <w:pPr>
        <w:pStyle w:val="Heading2"/>
      </w:pPr>
      <w:r>
        <w:t xml:space="preserve">5.2.9 dbt 双向往返与外部项目导入</w:t>
      </w:r>
    </w:p>
    <w:p>
      <w:pPr>
        <w:pStyle w:val="Heading3"/>
      </w:pPr>
      <w:r>
        <w:t xml:space="preserve">5.3 数据治理设计</w:t>
      </w:r>
    </w:p>
    <w:p>
      <w:pPr>
        <w:pStyle w:val="Heading2"/>
      </w:pPr>
      <w:r>
        <w:t xml:space="preserve">5.3.1 资产地图与资产台账职责划分</w:t>
      </w:r>
    </w:p>
    <w:p>
      <w:pPr>
        <w:pStyle w:val="Heading2"/>
      </w:pPr>
      <w:r>
        <w:t xml:space="preserve">5.3.2 资产治理工作台</w:t>
      </w:r>
    </w:p>
    <w:p>
      <w:pPr>
        <w:pStyle w:val="Heading2"/>
      </w:pPr>
      <w:r>
        <w:t xml:space="preserve">5.3.3 数据标签体系</w:t>
      </w:r>
    </w:p>
    <w:p>
      <w:pPr>
        <w:pStyle w:val="Heading2"/>
      </w:pPr>
      <w:r>
        <w:t xml:space="preserve">5.3.4 分类分级与密级传播</w:t>
      </w:r>
    </w:p>
    <w:p>
      <w:pPr>
        <w:pStyle w:val="Heading2"/>
      </w:pPr>
      <w:r>
        <w:t xml:space="preserve">5.3.5 数据质量规则与执行</w:t>
      </w:r>
    </w:p>
    <w:p>
      <w:pPr>
        <w:pStyle w:val="Heading2"/>
      </w:pPr>
      <w:r>
        <w:t xml:space="preserve">5.3.6 血缘采集与影响分析</w:t>
      </w:r>
    </w:p>
    <w:p>
      <w:pPr>
        <w:pStyle w:val="Heading3"/>
      </w:pPr>
      <w:r>
        <w:t xml:space="preserve">5.4 数据服务设计</w:t>
      </w:r>
    </w:p>
    <w:p>
      <w:pPr>
        <w:pStyle w:val="Heading2"/>
      </w:pPr>
      <w:r>
        <w:t xml:space="preserve">5.4.1 数据 API 生成与发布</w:t>
      </w:r>
    </w:p>
    <w:p>
      <w:pPr>
        <w:pStyle w:val="Heading2"/>
      </w:pPr>
      <w:r>
        <w:t xml:space="preserve">5.4.2 数据产品生命周期</w:t>
      </w:r>
    </w:p>
    <w:p>
      <w:pPr>
        <w:pStyle w:val="Heading2"/>
      </w:pPr>
      <w:r>
        <w:t xml:space="preserve">5.4.3 数据推送与共享交换</w:t>
      </w:r>
    </w:p>
    <w:p>
      <w:pPr>
        <w:pStyle w:val="Heading2"/>
      </w:pPr>
      <w:r>
        <w:t xml:space="preserve">5.4.4 BI 与大屏渲染</w:t>
      </w:r>
    </w:p>
    <w:p>
      <w:pPr>
        <w:pStyle w:val="Heading3"/>
      </w:pPr>
      <w:r>
        <w:t xml:space="preserve">5.5 权限与安全设计</w:t>
      </w:r>
    </w:p>
    <w:p>
      <w:pPr>
        <w:pStyle w:val="Heading2"/>
      </w:pPr>
      <w:r>
        <w:t xml:space="preserve">5.5.1 认证方案（Keycloak / OIDC / PKI 双证书登录）</w:t>
      </w:r>
    </w:p>
    <w:p>
      <w:pPr>
        <w:pStyle w:val="Heading2"/>
      </w:pPr>
      <w:r>
        <w:t xml:space="preserve">5.5.2 授权模型与 AccessChecker</w:t>
      </w:r>
    </w:p>
    <w:p>
      <w:pPr>
        <w:pStyle w:val="Heading2"/>
      </w:pPr>
      <w:r>
        <w:t xml:space="preserve">5.5.3 服务间鉴权（pairwise service token）</w:t>
      </w:r>
    </w:p>
    <w:p>
      <w:pPr>
        <w:pStyle w:val="Heading2"/>
      </w:pPr>
      <w:r>
        <w:t xml:space="preserve">5.5.4 数据脱敏与行级过滤</w:t>
      </w:r>
    </w:p>
    <w:p>
      <w:pPr>
        <w:pStyle w:val="Heading2"/>
      </w:pPr>
      <w:r>
        <w:t xml:space="preserve">5.5.5 审计 outbox、死信与脱敏落账</w:t>
      </w:r>
    </w:p>
    <w:p>
      <w:pPr>
        <w:pStyle w:val="Heading1"/>
        <w:pageBreakBefore/>
      </w:pPr>
      <w:r>
        <w:t xml:space="preserve">6 接口设计</w:t>
      </w:r>
    </w:p>
    <w:p>
      <w:pPr>
        <w:pStyle w:val="Heading2"/>
      </w:pPr>
      <w:r>
        <w:t xml:space="preserve">6.1 接口设计原则与版本策略（expand / migrate / contract）</w:t>
      </w:r>
    </w:p>
    <w:p>
      <w:pPr>
        <w:pStyle w:val="Heading2"/>
      </w:pPr>
      <w:r>
        <w:t xml:space="preserve">6.2 REST API 设计规范</w:t>
      </w:r>
    </w:p>
    <w:p>
      <w:pPr>
        <w:pStyle w:val="Heading2"/>
      </w:pPr>
      <w:r>
        <w:t xml:space="preserve">6.3 错误码与统一响应结构</w:t>
      </w:r>
    </w:p>
    <w:p>
      <w:pPr>
        <w:pStyle w:val="Heading2"/>
      </w:pPr>
      <w:r>
        <w:t xml:space="preserve">6.4 幂等、并发与乐观锁（ETag / CAS）</w:t>
      </w:r>
    </w:p>
    <w:p>
      <w:pPr>
        <w:pStyle w:val="Heading1"/>
        <w:pageBreakBefore/>
      </w:pPr>
      <w:r>
        <w:t xml:space="preserve">7 前端设计</w:t>
      </w:r>
    </w:p>
    <w:p>
      <w:pPr>
        <w:pStyle w:val="Heading2"/>
      </w:pPr>
      <w:r>
        <w:t xml:space="preserve">7.1 前端技术栈与工程结构</w:t>
      </w:r>
    </w:p>
    <w:p>
      <w:pPr>
        <w:pStyle w:val="Heading2"/>
      </w:pPr>
      <w:r>
        <w:t xml:space="preserve">7.2 信息架构与导航设计</w:t>
      </w:r>
    </w:p>
    <w:p>
      <w:pPr>
        <w:pStyle w:val="Heading2"/>
      </w:pPr>
      <w:r>
        <w:t xml:space="preserve">7.3 页面职责与交互规范</w:t>
      </w:r>
    </w:p>
    <w:p>
      <w:pPr>
        <w:pStyle w:val="Heading2"/>
      </w:pPr>
      <w:r>
        <w:t xml:space="preserve">7.4 组件库与设计令牌</w:t>
      </w:r>
    </w:p>
    <w:p>
      <w:pPr>
        <w:pStyle w:val="Heading2"/>
      </w:pPr>
      <w:r>
        <w:t xml:space="preserve">7.5 全局帮助中心与页面说明收敛策略</w:t>
      </w:r>
    </w:p>
    <w:p>
      <w:pPr>
        <w:pStyle w:val="Heading2"/>
      </w:pPr>
      <w:r>
        <w:t xml:space="preserve">7.6 无障碍与浏览器兼容（含 Chrome 95 约束）</w:t>
      </w:r>
    </w:p>
    <w:p>
      <w:pPr>
        <w:pStyle w:val="Heading1"/>
        <w:pageBreakBefore/>
      </w:pPr>
      <w:r>
        <w:t xml:space="preserve">8 非功能设计</w:t>
      </w:r>
    </w:p>
    <w:p>
      <w:pPr>
        <w:pStyle w:val="Heading2"/>
      </w:pPr>
      <w:r>
        <w:t xml:space="preserve">8.1 性能设计与容量规划</w:t>
      </w:r>
    </w:p>
    <w:p>
      <w:pPr>
        <w:pStyle w:val="Heading2"/>
      </w:pPr>
      <w:r>
        <w:t xml:space="preserve">8.2 高可用与容灾设计</w:t>
      </w:r>
    </w:p>
    <w:p>
      <w:pPr>
        <w:pStyle w:val="Heading2"/>
      </w:pPr>
      <w:r>
        <w:t xml:space="preserve">8.3 可观测性设计（日志、指标、链路）</w:t>
      </w:r>
    </w:p>
    <w:p>
      <w:pPr>
        <w:pStyle w:val="Heading2"/>
      </w:pPr>
      <w:r>
        <w:t xml:space="preserve">8.4 备份与恢复设计</w:t>
      </w:r>
    </w:p>
    <w:p>
      <w:pPr>
        <w:pStyle w:val="Heading2"/>
      </w:pPr>
      <w:r>
        <w:t xml:space="preserve">8.5 升级与回滚设计</w:t>
      </w:r>
    </w:p>
    <w:p>
      <w:pPr>
        <w:pStyle w:val="Heading1"/>
        <w:pageBreakBefore/>
      </w:pPr>
      <w:r>
        <w:t xml:space="preserve">9 关键技术方案</w:t>
      </w:r>
    </w:p>
    <w:p>
      <w:pPr>
        <w:pStyle w:val="Heading2"/>
      </w:pPr>
      <w:r>
        <w:t xml:space="preserve">9.1 ELT 执行引擎方案（Addax + Airflow + dbt）</w:t>
      </w:r>
    </w:p>
    <w:p>
      <w:pPr>
        <w:pStyle w:val="Heading2"/>
      </w:pPr>
      <w:r>
        <w:t xml:space="preserve">9.2 元数据同步方案（OpenMetadata）</w:t>
      </w:r>
    </w:p>
    <w:p>
      <w:pPr>
        <w:pStyle w:val="Heading2"/>
      </w:pPr>
      <w:r>
        <w:t xml:space="preserve">9.3 大文件上传与临时文件安全</w:t>
      </w:r>
    </w:p>
    <w:p>
      <w:pPr>
        <w:pStyle w:val="Heading2"/>
      </w:pPr>
      <w:r>
        <w:t xml:space="preserve">9.4 国产化适配方案</w:t>
      </w:r>
    </w:p>
    <w:p>
      <w:pPr>
        <w:pStyle w:val="Heading1"/>
        <w:pageBreakBefore/>
      </w:pPr>
      <w:r>
        <w:t xml:space="preserve">10 遗留问题与演进规划</w:t>
      </w:r>
    </w:p>
    <w:p>
      <w:pPr>
        <w:pStyle w:val="Heading2"/>
      </w:pPr>
      <w:r>
        <w:t xml:space="preserve">10.1 当前架构已核验成立项</w:t>
      </w:r>
    </w:p>
    <w:p>
      <w:pPr>
        <w:pStyle w:val="Heading2"/>
      </w:pPr>
      <w:r>
        <w:t xml:space="preserve">10.2 待硬化项与技术债</w:t>
      </w:r>
    </w:p>
    <w:p>
      <w:pPr>
        <w:pStyle w:val="Heading2"/>
      </w:pPr>
      <w:r>
        <w:t xml:space="preserve">10.3 后续演进方向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架构决策记录（ADR）清单</w:t>
      </w:r>
    </w:p>
    <w:p>
      <w:pPr>
        <w:pStyle w:val="Heading2"/>
      </w:pPr>
      <w:r>
        <w:t xml:space="preserve">附录 B 数据字典</w:t>
      </w:r>
    </w:p>
    <w:p>
      <w:pPr>
        <w:pStyle w:val="Heading2"/>
      </w:pPr>
      <w:r>
        <w:t xml:space="preserve">附录 C 部署拓扑图</w:t>
      </w:r>
    </w:p>
    <w:p>
      <w:pPr>
        <w:pStyle w:val="Heading2"/>
      </w:pPr>
      <w:r>
        <w:t xml:space="preserve">附录 D 设计与需求追踪矩阵</w:t>
      </w: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