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/>
    <w:p>
      <w:pPr>
        <w:jc w:val="center"/>
        <w:spacing w:before="0" w:after="240"/>
      </w:pPr>
      <w:r>
        <w:rPr>
          <w:b/>
          <w:bCs/>
          <w:sz w:val="56"/>
          <w:szCs w:val="56"/>
        </w:rPr>
        <w:t xml:space="preserve">数据管理平台用户使用手册</w:t>
      </w:r>
    </w:p>
    <w:p>
      <w:pPr>
        <w:jc w:val="center"/>
        <w:spacing w:before="0" w:after="120"/>
      </w:pPr>
      <w:r>
        <w:rPr>
          <w:sz w:val="32"/>
          <w:szCs w:val="32"/>
        </w:rPr>
        <w:t xml:space="preserve">v2.2.3</w:t>
      </w:r>
    </w:p>
    <w:p/>
    <w:p/>
    <w:p/>
    <w:p/>
    <w:p/>
    <w:p/>
    <w:p/>
    <w:p/>
    <w:p>
      <w:pPr>
        <w:jc w:val="center"/>
        <w:spacing w:before="0" w:after="80"/>
      </w:pPr>
      <w:r>
        <w:rPr>
          <w:sz w:val="28"/>
          <w:szCs w:val="28"/>
        </w:rPr>
        <w:t xml:space="preserve">〔编制单位〕</w:t>
      </w:r>
    </w:p>
    <w:p>
      <w:pPr>
        <w:jc w:val="center"/>
        <w:spacing w:before="0" w:after="0"/>
      </w:pPr>
      <w:r>
        <w:rPr>
          <w:sz w:val="28"/>
          <w:szCs w:val="28"/>
        </w:rPr>
        <w:t xml:space="preserve">2026-08-03</w:t>
      </w:r>
    </w:p>
    <w:p>
      <w:pPr>
        <w:pageBreakBefore/>
        <w:jc w:val="center"/>
        <w:spacing w:before="240" w:after="360"/>
      </w:pPr>
      <w:r>
        <w:rPr>
          <w:b/>
          <w:bCs/>
          <w:sz w:val="36"/>
          <w:szCs w:val="36"/>
        </w:rP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（打开文档后如未显示目录，请全选后按 F9 更新域）</w:t>
      </w:r>
      <w:r>
        <w:fldChar w:fldCharType="end"/>
      </w:r>
    </w:p>
    <w:p>
      <w:pPr>
        <w:pStyle w:val="Heading1"/>
        <w:pageBreakBefore/>
      </w:pPr>
      <w:r>
        <w:t xml:space="preserve">1 引言</w:t>
      </w:r>
    </w:p>
    <w:p>
      <w:pPr>
        <w:pStyle w:val="Heading2"/>
      </w:pPr>
      <w:r>
        <w:t xml:space="preserve">1.1 编写目的</w:t>
      </w:r>
    </w:p>
    <w:p>
      <w:pPr>
        <w:pStyle w:val="Heading2"/>
      </w:pPr>
      <w:r>
        <w:t xml:space="preserve">1.2 适用读者与角色对照</w:t>
      </w:r>
    </w:p>
    <w:p>
      <w:pPr>
        <w:pStyle w:val="Heading2"/>
      </w:pPr>
      <w:r>
        <w:t xml:space="preserve">1.3 手册约定（图标、操作步骤、提示级别）</w:t>
      </w:r>
    </w:p>
    <w:p>
      <w:pPr>
        <w:pStyle w:val="Heading2"/>
      </w:pPr>
      <w:r>
        <w:t xml:space="preserve">1.4 版本适用说明</w:t>
      </w:r>
    </w:p>
    <w:p>
      <w:pPr>
        <w:pStyle w:val="Heading1"/>
        <w:pageBreakBefore/>
      </w:pPr>
      <w:r>
        <w:t xml:space="preserve">2 快速入门</w:t>
      </w:r>
    </w:p>
    <w:p>
      <w:pPr>
        <w:pStyle w:val="Heading2"/>
      </w:pPr>
      <w:r>
        <w:t xml:space="preserve">2.1 登录与身份认证</w:t>
      </w:r>
    </w:p>
    <w:p>
      <w:pPr>
        <w:pStyle w:val="Heading3"/>
      </w:pPr>
      <w:r>
        <w:t xml:space="preserve">2.1.1 账号密码登录</w:t>
      </w:r>
    </w:p>
    <w:p>
      <w:pPr>
        <w:pStyle w:val="Heading3"/>
      </w:pPr>
      <w:r>
        <w:t xml:space="preserve">2.1.2 双证书（PKI）登录</w:t>
      </w:r>
    </w:p>
    <w:p>
      <w:pPr>
        <w:pStyle w:val="Heading3"/>
      </w:pPr>
      <w:r>
        <w:t xml:space="preserve">2.1.3 密级标识与登录后提示</w:t>
      </w:r>
    </w:p>
    <w:p>
      <w:pPr>
        <w:pStyle w:val="Heading2"/>
      </w:pPr>
      <w:r>
        <w:t xml:space="preserve">2.2 界面总览与导航</w:t>
      </w:r>
    </w:p>
    <w:p>
      <w:pPr>
        <w:pStyle w:val="Heading2"/>
      </w:pPr>
      <w:r>
        <w:t xml:space="preserve">2.3 全局帮助中心的使用</w:t>
      </w:r>
    </w:p>
    <w:p>
      <w:pPr>
        <w:pStyle w:val="Heading2"/>
      </w:pPr>
      <w:r>
        <w:t xml:space="preserve">2.4 全局搜索</w:t>
      </w:r>
    </w:p>
    <w:p>
      <w:pPr>
        <w:pStyle w:val="Heading2"/>
      </w:pPr>
      <w:r>
        <w:t xml:space="preserve">2.5 个人设置与偏好</w:t>
      </w:r>
    </w:p>
    <w:p>
      <w:pPr>
        <w:pStyle w:val="Heading2"/>
      </w:pPr>
      <w:r>
        <w:t xml:space="preserve">2.6 第一次上手：完整业务链路速览</w:t>
      </w:r>
    </w:p>
    <w:p>
      <w:pPr>
        <w:pStyle w:val="Heading1"/>
        <w:pageBreakBefore/>
      </w:pPr>
      <w:r>
        <w:t xml:space="preserve">3 工作台</w:t>
      </w:r>
    </w:p>
    <w:p>
      <w:pPr>
        <w:pStyle w:val="Heading2"/>
      </w:pPr>
      <w:r>
        <w:t xml:space="preserve">3.1 我的概览</w:t>
      </w:r>
    </w:p>
    <w:p>
      <w:pPr>
        <w:pStyle w:val="Heading2"/>
      </w:pPr>
      <w:r>
        <w:t xml:space="preserve">3.2 待办事项处理</w:t>
      </w:r>
    </w:p>
    <w:p>
      <w:pPr>
        <w:pStyle w:val="Heading1"/>
        <w:pageBreakBefore/>
      </w:pPr>
      <w:r>
        <w:t xml:space="preserve">4 数据集成</w:t>
      </w:r>
    </w:p>
    <w:p>
      <w:pPr>
        <w:pStyle w:val="Heading2"/>
      </w:pPr>
      <w:r>
        <w:t xml:space="preserve">4.1 接入概览</w:t>
      </w:r>
    </w:p>
    <w:p>
      <w:pPr>
        <w:pStyle w:val="Heading2"/>
      </w:pPr>
      <w:r>
        <w:t xml:space="preserve">4.2 新建数据库接入任务</w:t>
      </w:r>
    </w:p>
    <w:p>
      <w:pPr>
        <w:pStyle w:val="Heading2"/>
      </w:pPr>
      <w:r>
        <w:t xml:space="preserve">4.3 新建 API 接入任务</w:t>
      </w:r>
    </w:p>
    <w:p>
      <w:pPr>
        <w:pStyle w:val="Heading2"/>
      </w:pPr>
      <w:r>
        <w:t xml:space="preserve">4.4 离线文件接入与密级封存</w:t>
      </w:r>
    </w:p>
    <w:p>
      <w:pPr>
        <w:pStyle w:val="Heading2"/>
      </w:pPr>
      <w:r>
        <w:t xml:space="preserve">4.5 选择同步模式（全量 / 增量 / 回填）</w:t>
      </w:r>
    </w:p>
    <w:p>
      <w:pPr>
        <w:pStyle w:val="Heading2"/>
      </w:pPr>
      <w:r>
        <w:t xml:space="preserve">4.6 配置调度与运行</w:t>
      </w:r>
    </w:p>
    <w:p>
      <w:pPr>
        <w:pStyle w:val="Heading2"/>
      </w:pPr>
      <w:r>
        <w:t xml:space="preserve">4.7 查看执行历史与水位推进</w:t>
      </w:r>
    </w:p>
    <w:p>
      <w:pPr>
        <w:pStyle w:val="Heading2"/>
      </w:pPr>
      <w:r>
        <w:t xml:space="preserve">4.8 连接管理与驱动上传</w:t>
      </w:r>
    </w:p>
    <w:p>
      <w:pPr>
        <w:pStyle w:val="Heading2"/>
      </w:pPr>
      <w:r>
        <w:t xml:space="preserve">4.9 默认策略查看</w:t>
      </w:r>
    </w:p>
    <w:p>
      <w:pPr>
        <w:pStyle w:val="Heading1"/>
        <w:pageBreakBefore/>
      </w:pPr>
      <w:r>
        <w:t xml:space="preserve">5 数据开发与运维</w:t>
      </w:r>
    </w:p>
    <w:p>
      <w:pPr>
        <w:pStyle w:val="Heading2"/>
      </w:pPr>
      <w:r>
        <w:t xml:space="preserve">5.1 脚本开发</w:t>
      </w:r>
    </w:p>
    <w:p>
      <w:pPr>
        <w:pStyle w:val="Heading2"/>
      </w:pPr>
      <w:r>
        <w:t xml:space="preserve">5.2 任务编排</w:t>
      </w:r>
    </w:p>
    <w:p>
      <w:pPr>
        <w:pStyle w:val="Heading2"/>
      </w:pPr>
      <w:r>
        <w:t xml:space="preserve">5.3 即席查询</w:t>
      </w:r>
    </w:p>
    <w:p>
      <w:pPr>
        <w:pStyle w:val="Heading2"/>
      </w:pPr>
      <w:r>
        <w:t xml:space="preserve">5.4 运行概览与实例监控</w:t>
      </w:r>
    </w:p>
    <w:p>
      <w:pPr>
        <w:pStyle w:val="Heading2"/>
      </w:pPr>
      <w:r>
        <w:t xml:space="preserve">5.5 告警查看与处理</w:t>
      </w:r>
    </w:p>
    <w:p>
      <w:pPr>
        <w:pStyle w:val="Heading2"/>
      </w:pPr>
      <w:r>
        <w:t xml:space="preserve">5.6 补数操作</w:t>
      </w:r>
    </w:p>
    <w:p>
      <w:pPr>
        <w:pStyle w:val="Heading1"/>
        <w:pageBreakBefore/>
      </w:pPr>
      <w:r>
        <w:t xml:space="preserve">6 数据建模</w:t>
      </w:r>
    </w:p>
    <w:p>
      <w:pPr>
        <w:pStyle w:val="Heading2"/>
      </w:pPr>
      <w:r>
        <w:t xml:space="preserve">6.1 建模主线总览</w:t>
      </w:r>
    </w:p>
    <w:p>
      <w:pPr>
        <w:pStyle w:val="Heading2"/>
      </w:pPr>
      <w:r>
        <w:t xml:space="preserve">6.2 数仓规划</w:t>
      </w:r>
    </w:p>
    <w:p>
      <w:pPr>
        <w:pStyle w:val="Heading3"/>
      </w:pPr>
      <w:r>
        <w:t xml:space="preserve">6.2.1 维护业务分类与数仓分层</w:t>
      </w:r>
    </w:p>
    <w:p>
      <w:pPr>
        <w:pStyle w:val="Heading3"/>
      </w:pPr>
      <w:r>
        <w:t xml:space="preserve">6.2.2 定义数据域与业务过程</w:t>
      </w:r>
    </w:p>
    <w:p>
      <w:pPr>
        <w:pStyle w:val="Heading3"/>
      </w:pPr>
      <w:r>
        <w:t xml:space="preserve">6.2.3 规划数据集市与主题域</w:t>
      </w:r>
    </w:p>
    <w:p>
      <w:pPr>
        <w:pStyle w:val="Heading2"/>
      </w:pPr>
      <w:r>
        <w:t xml:space="preserve">6.3 数据标准</w:t>
      </w:r>
    </w:p>
    <w:p>
      <w:pPr>
        <w:pStyle w:val="Heading3"/>
      </w:pPr>
      <w:r>
        <w:t xml:space="preserve">6.3.1 维护字段标准与数据元</w:t>
      </w:r>
    </w:p>
    <w:p>
      <w:pPr>
        <w:pStyle w:val="Heading3"/>
      </w:pPr>
      <w:r>
        <w:t xml:space="preserve">6.3.2 标准代码与公共码表</w:t>
      </w:r>
    </w:p>
    <w:p>
      <w:pPr>
        <w:pStyle w:val="Heading3"/>
      </w:pPr>
      <w:r>
        <w:t xml:space="preserve">6.3.3 词根与命名词典</w:t>
      </w:r>
    </w:p>
    <w:p>
      <w:pPr>
        <w:pStyle w:val="Heading3"/>
      </w:pPr>
      <w:r>
        <w:t xml:space="preserve">6.3.4 标准映射与落标</w:t>
      </w:r>
    </w:p>
    <w:p>
      <w:pPr>
        <w:pStyle w:val="Heading2"/>
      </w:pPr>
      <w:r>
        <w:t xml:space="preserve">6.4 维度建模</w:t>
      </w:r>
    </w:p>
    <w:p>
      <w:pPr>
        <w:pStyle w:val="Heading3"/>
      </w:pPr>
      <w:r>
        <w:t xml:space="preserve">6.4.1 登记业务维度</w:t>
      </w:r>
    </w:p>
    <w:p>
      <w:pPr>
        <w:pStyle w:val="Heading3"/>
      </w:pPr>
      <w:r>
        <w:t xml:space="preserve">6.4.2 创建维度表与事实表</w:t>
      </w:r>
    </w:p>
    <w:p>
      <w:pPr>
        <w:pStyle w:val="Heading3"/>
      </w:pPr>
      <w:r>
        <w:t xml:space="preserve">6.4.3 逆向建模</w:t>
      </w:r>
    </w:p>
    <w:p>
      <w:pPr>
        <w:pStyle w:val="Heading2"/>
      </w:pPr>
      <w:r>
        <w:t xml:space="preserve">6.5 数据指标</w:t>
      </w:r>
    </w:p>
    <w:p>
      <w:pPr>
        <w:pStyle w:val="Heading3"/>
      </w:pPr>
      <w:r>
        <w:t xml:space="preserve">6.5.1 原子指标与派生指标</w:t>
      </w:r>
    </w:p>
    <w:p>
      <w:pPr>
        <w:pStyle w:val="Heading3"/>
      </w:pPr>
      <w:r>
        <w:t xml:space="preserve">6.5.2 复合指标、修饰词与时间周期</w:t>
      </w:r>
    </w:p>
    <w:p>
      <w:pPr>
        <w:pStyle w:val="Heading2"/>
      </w:pPr>
      <w:r>
        <w:t xml:space="preserve">6.6 模型实现</w:t>
      </w:r>
    </w:p>
    <w:p>
      <w:pPr>
        <w:pStyle w:val="Heading3"/>
      </w:pPr>
      <w:r>
        <w:t xml:space="preserve">6.6.1 普通配置实现</w:t>
      </w:r>
    </w:p>
    <w:p>
      <w:pPr>
        <w:pStyle w:val="Heading3"/>
      </w:pPr>
      <w:r>
        <w:t xml:space="preserve">6.6.2 高级 dbt 实现</w:t>
      </w:r>
    </w:p>
    <w:p>
      <w:pPr>
        <w:pStyle w:val="Heading3"/>
      </w:pPr>
      <w:r>
        <w:t xml:space="preserve">6.6.3 导入外部 dbt 项目</w:t>
      </w:r>
    </w:p>
    <w:p>
      <w:pPr>
        <w:pStyle w:val="Heading2"/>
      </w:pPr>
      <w:r>
        <w:t xml:space="preserve">6.7 提交、门禁与发布</w:t>
      </w:r>
    </w:p>
    <w:p>
      <w:pPr>
        <w:pStyle w:val="Heading2"/>
      </w:pPr>
      <w:r>
        <w:t xml:space="preserve">6.8 物化与物理资产查看</w:t>
      </w:r>
    </w:p>
    <w:p>
      <w:pPr>
        <w:pStyle w:val="Heading2"/>
      </w:pPr>
      <w:r>
        <w:t xml:space="preserve">6.9 关系图查看</w:t>
      </w:r>
    </w:p>
    <w:p>
      <w:pPr>
        <w:pStyle w:val="Heading1"/>
        <w:pageBreakBefore/>
      </w:pPr>
      <w:r>
        <w:t xml:space="preserve">7 数据治理</w:t>
      </w:r>
    </w:p>
    <w:p>
      <w:pPr>
        <w:pStyle w:val="Heading2"/>
      </w:pPr>
      <w:r>
        <w:t xml:space="preserve">7.1 资产地图：看全局、找方向</w:t>
      </w:r>
    </w:p>
    <w:p>
      <w:pPr>
        <w:pStyle w:val="Heading2"/>
      </w:pPr>
      <w:r>
        <w:t xml:space="preserve">7.2 数据搜索</w:t>
      </w:r>
    </w:p>
    <w:p>
      <w:pPr>
        <w:pStyle w:val="Heading2"/>
      </w:pPr>
      <w:r>
        <w:t xml:space="preserve">7.3 元数据管理与治理属性补齐</w:t>
      </w:r>
    </w:p>
    <w:p>
      <w:pPr>
        <w:pStyle w:val="Heading2"/>
      </w:pPr>
      <w:r>
        <w:t xml:space="preserve">7.4 资产台账与资产治理工作台</w:t>
      </w:r>
    </w:p>
    <w:p>
      <w:pPr>
        <w:pStyle w:val="Heading2"/>
      </w:pPr>
      <w:r>
        <w:t xml:space="preserve">7.5 数据标签维护与打标</w:t>
      </w:r>
    </w:p>
    <w:p>
      <w:pPr>
        <w:pStyle w:val="Heading2"/>
      </w:pPr>
      <w:r>
        <w:t xml:space="preserve">7.6 血缘与影响分析</w:t>
      </w:r>
    </w:p>
    <w:p>
      <w:pPr>
        <w:pStyle w:val="Heading2"/>
      </w:pPr>
      <w:r>
        <w:t xml:space="preserve">7.7 权限申请与审批</w:t>
      </w:r>
    </w:p>
    <w:p>
      <w:pPr>
        <w:pStyle w:val="Heading2"/>
      </w:pPr>
      <w:r>
        <w:t xml:space="preserve">7.8 数据质量规则配置与质量报告</w:t>
      </w:r>
    </w:p>
    <w:p>
      <w:pPr>
        <w:pStyle w:val="Heading2"/>
      </w:pPr>
      <w:r>
        <w:t xml:space="preserve">7.9 数据分类分级与密级维护</w:t>
      </w:r>
    </w:p>
    <w:p>
      <w:pPr>
        <w:pStyle w:val="Heading1"/>
        <w:pageBreakBefore/>
      </w:pPr>
      <w:r>
        <w:t xml:space="preserve">8 数据分析与服务</w:t>
      </w:r>
    </w:p>
    <w:p>
      <w:pPr>
        <w:pStyle w:val="Heading2"/>
      </w:pPr>
      <w:r>
        <w:t xml:space="preserve">8.1 BI 分析看板与分析卡片</w:t>
      </w:r>
    </w:p>
    <w:p>
      <w:pPr>
        <w:pStyle w:val="Heading2"/>
      </w:pPr>
      <w:r>
        <w:t xml:space="preserve">8.2 BI 数据集</w:t>
      </w:r>
    </w:p>
    <w:p>
      <w:pPr>
        <w:pStyle w:val="Heading2"/>
      </w:pPr>
      <w:r>
        <w:t xml:space="preserve">8.3 数据大屏设计与发布</w:t>
      </w:r>
    </w:p>
    <w:p>
      <w:pPr>
        <w:pStyle w:val="Heading2"/>
      </w:pPr>
      <w:r>
        <w:t xml:space="preserve">8.4 数据 API 发布与调用查看</w:t>
      </w:r>
    </w:p>
    <w:p>
      <w:pPr>
        <w:pStyle w:val="Heading2"/>
      </w:pPr>
      <w:r>
        <w:t xml:space="preserve">8.5 数据产品维护</w:t>
      </w:r>
    </w:p>
    <w:p>
      <w:pPr>
        <w:pStyle w:val="Heading2"/>
      </w:pPr>
      <w:r>
        <w:t xml:space="preserve">8.6 数据推送与共享交换</w:t>
      </w:r>
    </w:p>
    <w:p>
      <w:pPr>
        <w:pStyle w:val="Heading1"/>
        <w:pageBreakBefore/>
      </w:pPr>
      <w:r>
        <w:t xml:space="preserve">9 常见操作场景（任务导向）</w:t>
      </w:r>
    </w:p>
    <w:p>
      <w:pPr>
        <w:pStyle w:val="Heading2"/>
      </w:pPr>
      <w:r>
        <w:t xml:space="preserve">9.1 场景一：接入一个新数据源并入湖</w:t>
      </w:r>
    </w:p>
    <w:p>
      <w:pPr>
        <w:pStyle w:val="Heading2"/>
      </w:pPr>
      <w:r>
        <w:t xml:space="preserve">9.2 场景二：从业务需求到发布一张维度表</w:t>
      </w:r>
    </w:p>
    <w:p>
      <w:pPr>
        <w:pStyle w:val="Heading2"/>
      </w:pPr>
      <w:r>
        <w:t xml:space="preserve">9.3 场景三：为资产补齐治理属性并解除消费阻断</w:t>
      </w:r>
    </w:p>
    <w:p>
      <w:pPr>
        <w:pStyle w:val="Heading2"/>
      </w:pPr>
      <w:r>
        <w:t xml:space="preserve">9.4 场景四：定位一次数据异常的上游影响</w:t>
      </w:r>
    </w:p>
    <w:p>
      <w:pPr>
        <w:pStyle w:val="Heading2"/>
      </w:pPr>
      <w:r>
        <w:t xml:space="preserve">9.5 场景五：把一个模型对外发布为数据 API</w:t>
      </w:r>
    </w:p>
    <w:p>
      <w:pPr>
        <w:pStyle w:val="Heading1"/>
        <w:pageBreakBefore/>
      </w:pPr>
      <w:r>
        <w:t xml:space="preserve">10 常见问题（FAQ）</w:t>
      </w:r>
    </w:p>
    <w:p>
      <w:pPr>
        <w:pStyle w:val="Heading2"/>
      </w:pPr>
      <w:r>
        <w:t xml:space="preserve">10.1 登录与权限类</w:t>
      </w:r>
    </w:p>
    <w:p>
      <w:pPr>
        <w:pStyle w:val="Heading2"/>
      </w:pPr>
      <w:r>
        <w:t xml:space="preserve">10.2 数据接入类</w:t>
      </w:r>
    </w:p>
    <w:p>
      <w:pPr>
        <w:pStyle w:val="Heading2"/>
      </w:pPr>
      <w:r>
        <w:t xml:space="preserve">10.3 建模与发布类</w:t>
      </w:r>
    </w:p>
    <w:p>
      <w:pPr>
        <w:pStyle w:val="Heading2"/>
      </w:pPr>
      <w:r>
        <w:t xml:space="preserve">10.4 资产与治理类</w:t>
      </w:r>
    </w:p>
    <w:p>
      <w:pPr>
        <w:pStyle w:val="Heading2"/>
      </w:pPr>
      <w:r>
        <w:t xml:space="preserve">10.5 性能与浏览器兼容类</w:t>
      </w:r>
    </w:p>
    <w:p>
      <w:pPr>
        <w:pStyle w:val="Heading1"/>
        <w:pageBreakBefore/>
      </w:pPr>
      <w:r>
        <w:t xml:space="preserve">附录</w:t>
      </w:r>
    </w:p>
    <w:p>
      <w:pPr>
        <w:pStyle w:val="Heading2"/>
      </w:pPr>
      <w:r>
        <w:t xml:space="preserve">附录 A 界面元素与图标说明</w:t>
      </w:r>
    </w:p>
    <w:p>
      <w:pPr>
        <w:pStyle w:val="Heading2"/>
      </w:pPr>
      <w:r>
        <w:t xml:space="preserve">附录 B 角色与功能权限对照表</w:t>
      </w:r>
    </w:p>
    <w:p>
      <w:pPr>
        <w:pStyle w:val="Heading2"/>
      </w:pPr>
      <w:r>
        <w:t xml:space="preserve">附录 C 状态与提示信息释义</w:t>
      </w:r>
    </w:p>
    <w:p>
      <w:pPr>
        <w:pStyle w:val="Heading2"/>
      </w:pPr>
      <w:r>
        <w:t xml:space="preserve">附录 D 快捷键</w:t>
      </w:r>
    </w:p>
    <w:p>
      <w:pPr>
        <w:pStyle w:val="Heading2"/>
      </w:pPr>
      <w:r>
        <w:t xml:space="preserve">附录 E 截图登记表（与 </w:t>
      </w:r>
      <w:r>
        <w:rPr>
          <w:rFonts w:ascii="Courier New" w:hAnsi="Courier New" w:cs="Courier New"/>
          <w:sz w:val="20"/>
          <w:szCs w:val="20"/>
        </w:rPr>
        <w:t xml:space="preserve">screenshot-register.md</w:t>
      </w:r>
      <w:r>
        <w:t xml:space="preserve"> 同步）</w:t>
      </w:r>
    </w:p>
    <w:sectPr w:rsidR="000F00E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B53C" w14:textId="77777777" w:rsidR="000F00EB" w:rsidRDefault="000F00EB" w:rsidP="00AF2559">
      <w:r>
        <w:separator/>
      </w:r>
    </w:p>
  </w:endnote>
  <w:endnote w:type="continuationSeparator" w:id="0">
    <w:p w14:paraId="1AE055AB" w14:textId="77777777" w:rsidR="000F00EB" w:rsidRDefault="000F00EB" w:rsidP="00AF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227D" w14:textId="77777777" w:rsidR="000F00EB" w:rsidRDefault="000F00EB" w:rsidP="00AF2559">
      <w:r>
        <w:separator/>
      </w:r>
    </w:p>
  </w:footnote>
  <w:footnote w:type="continuationSeparator" w:id="0">
    <w:p w14:paraId="16540627" w14:textId="77777777" w:rsidR="000F00EB" w:rsidRDefault="000F00EB" w:rsidP="00AF2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3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59"/>
    <w:rsid w:val="000F00EB"/>
    <w:rsid w:val="00AF2559"/>
    <w:rsid w:val="00C3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F72FB"/>
  <w15:chartTrackingRefBased/>
  <w15:docId w15:val="{9A1391D9-71A9-4A86-8CE5-7D2ECDF8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400" w:after="360"/>
      <w:jc w:val="center"/>
      <w:outlineLvl w:val="0"/>
    </w:pPr>
    <w:rPr>
      <w:b/>
      <w:bCs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1D5DB"/>
      </w:pBdr>
      <w:spacing w:before="400" w:after="100" w:afterAutospacing="1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111827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111827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1D5DB"/>
        <w:left w:val="single" w:sz="6" w:space="8" w:color="D1D5DB"/>
        <w:bottom w:val="single" w:sz="6" w:space="8" w:color="D1D5DB"/>
        <w:right w:val="single" w:sz="6" w:space="8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  <w:rPr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55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55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114</Pages>
  <Words>28650</Words>
  <Characters>121754</Characters>
  <Application>Microsoft Office Word</Application>
  <DocSecurity>4</DocSecurity>
  <Lines>5524</Lines>
  <Paragraphs>4859</Paragraphs>
  <ScaleCrop>false</ScaleCrop>
  <Company/>
  <LinksUpToDate>false</LinksUpToDate>
  <CharactersWithSpaces>132644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???????????????v4 PostgreSQL ????</dc:title>
  <dc:subject/>
  <dc:creator>billy</dc:creator>
  <cp:keywords/>
  <dc:description/>
  <cp:lastModifiedBy>billy</cp:lastModifiedBy>
  <cp:revision>2</cp:revision>
  <dcterms:created xsi:type="dcterms:W3CDTF">2026-05-27T07:55:00Z</dcterms:created>
  <dcterms:modified xsi:type="dcterms:W3CDTF">2026-05-27T07:55:00Z</dcterms:modified>
</cp:coreProperties>
</file>