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Heading1"/>
        <w:bidi w:val="0"/>
        <w:spacing w:before="360" w:after="160"/>
        <w:rPr/>
      </w:pPr>
      <w:r>
        <w:rPr/>
        <w:t xml:space="preserve">DTS v2.2.3 周报</w:t>
      </w:r>
    </w:p>
    <w:p>
      <w:pPr>
        <w:pStyle w:val="BodyTextsubtitle"/>
        <w:bidi w:val="0"/>
        <w:rPr/>
      </w:pPr>
      <w:r>
        <w:rPr/>
        <w:t xml:space="preserve">数据集成、数据质量、数据建模、商业智能及数据资产工作汇总</w:t>
      </w:r>
    </w:p>
    <w:tbl>
      <w:tblPr>
        <w:tblW w:w="5000" w:type="pct"/>
        <w:jc w:val="start"/>
        <w:tblInd w:w="0" w:type="dxa"/>
        <w:shd w:fill="F4F7FB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51"/>
        <w:gridCol w:w="8587"/>
      </w:tblGrid>
      <w:tr>
        <w:trPr/>
        <w:tc>
          <w:tcPr>
            <w:tcW w:w="2751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报告周期</w:t>
            </w:r>
          </w:p>
        </w:tc>
        <w:tc>
          <w:tcPr>
            <w:tcW w:w="8587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2026年8月24日—2026年8月28日</w:t>
            </w:r>
          </w:p>
        </w:tc>
      </w:tr>
      <w:tr>
        <w:trPr/>
        <w:tc>
          <w:tcPr>
            <w:tcW w:w="2751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下周周期</w:t>
            </w:r>
          </w:p>
        </w:tc>
        <w:tc>
          <w:tcPr>
            <w:tcW w:w="8587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2026年8月31日—2026年9月4日</w:t>
            </w:r>
          </w:p>
        </w:tc>
      </w:tr>
      <w:tr>
        <w:trPr/>
        <w:tc>
          <w:tcPr>
            <w:tcW w:w="2751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产品版本</w:t>
            </w:r>
          </w:p>
        </w:tc>
        <w:tc>
          <w:tcPr>
            <w:tcW w:w="8587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v2.2.3</w:t>
            </w:r>
          </w:p>
        </w:tc>
      </w:tr>
    </w:tbl>
    <w:p>
      <w:pPr>
        <w:pStyle w:val="Heading2"/>
        <w:keepLines w:val="false"/>
        <w:bidi w:val="0"/>
        <w:ind w:hanging="0" w:start="0" w:end="0"/>
        <w:jc w:val="start"/>
        <w:rPr/>
      </w:pPr>
      <w:r>
        <w:rPr/>
        <w:t xml:space="preserve">一、本周工作内容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1. 数据集成流程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将任务编排页收敛为“数据集成流程”：任务配置是唯一事实源，拓扑改为服务端自动生成的只读投影，不再建设自由画布和第二套工作流引擎。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页面拆分为任务列表、任务设计、运行实例三部分；不带任务参数打开时默认进入服务端分页任务列表，不再自动打开第一条任务。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运行实例默认按当前版本过滤，可切换查看全部历史版本；运行相关请求全部收敛到任务自身接口，不再直接操作全局调度作业列表。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新增任务设计的读取、保存与校验接口及执行命令幂等控制，用同一份配置校验和贯通保存、校验、准入发布和运行。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完成本机真实浏览器只读旅程回归，深链跳转、返回列表、窄屏横向滚动均通过，无控制台错误与失败请求。 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2. 数据质量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接入后质量验证纳入统一工作流：执行完整提交后按目标数据集与执行实例幂等触发，接入过程只做准入校验。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新增质量工作流重试调度与尝试记录账本，重试等待和重试耗尽状态对用户可见。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接入执行与质量工作流建立关联字段，接入成功事实与质量结论保持分离，质量失败不回写接入结果。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补齐质量工作流的审计动作目录登记。 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3. 数据建模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修复 dbt 模型包导入丢失维度属性映射的问题，同时保持旧版本模型包的字段向后兼容。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完成专利域逆向建模离线导入包验证：离线解析通过、零外部依赖、四项维度属性映射与主键映射与当前定义完全一致。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重做建模关系图，改为可读的关系投影，解决节点重叠、无法定位的可用性问题。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数据标准页新增标准映射建议，可基于既有指标与标准定义给出候选映射。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修复规划编辑与逆向建模检查步骤的布局问题。 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4. 商业智能与数据大屏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大屏目录显示创建人，便于按责任人定位内容。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修复数据大屏下钻不可逆的问题：下钻后可返回上层，并补充下钻配置的服务端校验。 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5. 数据资产与标签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重构标签管理页，标签维护与资产关联操作合并到同一视图。 </w:t>
      </w:r>
    </w:p>
    <w:p>
      <w:pPr>
        <w:pStyle w:val="Heading2"/>
        <w:keepLines w:val="false"/>
        <w:bidi w:val="0"/>
        <w:ind w:hanging="0" w:start="0" w:end="0"/>
        <w:jc w:val="start"/>
        <w:rPr/>
      </w:pPr>
      <w:r>
        <w:rPr/>
        <w:t xml:space="preserve">二、文档更新内容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新增数据集成流程实施方案，含产品范围裁决、架构决策记录、端到端契约链、页面能力矩阵、调度作业对账与发布回滚预案。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新增数据质量工作流方案的领域画像与非功能预算文档。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新增专利域逆向建模验证记录，并提供两个可直接导入的示例包。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更新集中验收记录与迭代队列台账。 </w:t>
      </w:r>
    </w:p>
    <w:p>
      <w:pPr>
        <w:pStyle w:val="Heading2"/>
        <w:keepLines w:val="false"/>
        <w:bidi w:val="0"/>
        <w:ind w:hanging="0" w:start="0" w:end="0"/>
        <w:jc w:val="start"/>
        <w:rPr/>
      </w:pPr>
      <w:r>
        <w:rPr/>
        <w:t xml:space="preserve">三、下周工作计划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数据集成：完成客户现场浏览器兼容、三角色隔离会话与安全业务金丝雀复验；为历史接入任务补齐目标资产身份。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数据质量：完成质量工作流的集中端到端验收与运维交接。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安全与合规：按上周立项推进口令策略与登录失败锁定配置、保密符合性映射台账、敏感数据识别、监控告警部署。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客户侧待确认事项跟进：保密标准条款目录、口令策略具体数值、测评证据包格式要求。 </w:t>
      </w:r>
    </w:p>
    <w:p>
      <w:pPr>
        <w:pStyle w:val="Heading2"/>
        <w:keepLines w:val="false"/>
        <w:bidi w:val="0"/>
        <w:ind w:hanging="0" w:start="0" w:end="0"/>
        <w:jc w:val="start"/>
        <w:rPr/>
      </w:pPr>
      <w:r>
        <w:rPr/>
        <w:t xml:space="preserve">四、测试问题清单</w:t>
      </w:r>
    </w:p>
    <w:tbl>
      <w:tblPr>
        <w:tblW w:w="4400" w:type="pct"/>
        <w:jc w:val="center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0"/>
        <w:gridCol w:w="836"/>
        <w:gridCol w:w="1034"/>
        <w:gridCol w:w="4601"/>
        <w:gridCol w:w="2867"/>
      </w:tblGrid>
      <w:tr>
        <w:trPr>
          <w:tblHeader w:val="true"/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Heading"/>
              <w:bidi w:val="0"/>
              <w:spacing w:before="100" w:after="100"/>
              <w:jc w:val="center"/>
              <w:rPr/>
            </w:pPr>
            <w:r>
              <w:rPr/>
              <w:t xml:space="preserve">编号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Heading"/>
              <w:bidi w:val="0"/>
              <w:spacing w:before="100" w:after="100"/>
              <w:jc w:val="center"/>
              <w:rPr/>
            </w:pPr>
            <w:r>
              <w:rPr/>
              <w:t xml:space="preserve">优先级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Heading"/>
              <w:bidi w:val="0"/>
              <w:spacing w:before="100" w:after="100"/>
              <w:jc w:val="center"/>
              <w:rPr/>
            </w:pPr>
            <w:r>
              <w:rPr/>
              <w:t xml:space="preserve">模块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Heading"/>
              <w:bidi w:val="0"/>
              <w:spacing w:before="100" w:after="100"/>
              <w:jc w:val="center"/>
              <w:rPr/>
            </w:pPr>
            <w:r>
              <w:rPr/>
              <w:t xml:space="preserve">问题或验收缺口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Heading"/>
              <w:bidi w:val="0"/>
              <w:spacing w:before="100" w:after="100"/>
              <w:jc w:val="center"/>
              <w:rPr/>
            </w:pPr>
            <w:r>
              <w:rPr/>
              <w:t xml:space="preserve">处理计划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 xml:space="preserve">T-01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P0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数据集成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现有浏览器证据基于本机 Chrome 150，客户要求的 Chrome 95 环境不可用，不能作为现场兼容性通过证据。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待现场提供目标浏览器环境后复验。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 xml:space="preserve">T-02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P0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数据集成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七条历史接入任务的目标资产身份为空，双批质量证据切换需安全金丝雀。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下周补齐资产绑定并小批量切换验证。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 xml:space="preserve">T-03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P0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安全合规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统一认证尚未配置口令复杂度策略，登录失败锁定未启用。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按合规专项排期实施，具体数值待客户确认。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 xml:space="preserve">T-04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P0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数据安全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无敏感数据自动识别能力，脱敏规则依赖人工逐个标注。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合规专项建设中。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 xml:space="preserve">T-05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P1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数据质量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质量工作流的集中端到端验收与运维交接尚未执行。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下周完成。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 xml:space="preserve">T-06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P1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非功能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全部服务为单节点部署，且缺少覆盖协议性能指标的统一压测报告。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需环境资源支持，单独排期。</w:t>
            </w:r>
          </w:p>
        </w:tc>
      </w:tr>
    </w:tbl>
    <w:p>
      <w:pPr>
        <w:pStyle w:val="BodyTextfooter-note"/>
        <w:bidi w:val="0"/>
        <w:spacing w:before="320" w:after="100"/>
        <w:jc w:val="start"/>
        <w:rPr/>
      </w:pPr>
      <w:r>
        <w:rPr/>
        <w:t xml:space="preserve">说明：以上工作内容依据本周代码提交、方案文档与验收记录整理。标注为待验收的项目需在正式验收前于真实环境再次确认。</w:t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icrosoft YaHei">
    <w:altName w:val="Noto Sans CJK SC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Microsoft YaHei;Noto Sans CJK SC;SimSun;sans-serif" w:hAnsi="Microsoft YaHei;Noto Sans CJK SC;SimSun;sans-serif" w:eastAsia="Microsoft YaHei;Noto Sans CJK SC;SimSun;sans-serif" w:cs="Microsoft YaHei;Noto Sans CJK SC;SimSun;sans-serif"/>
      <w:color w:val="1F293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60"/>
      <w:ind w:start="360" w:end="360"/>
      <w:jc w:val="center"/>
    </w:pPr>
    <w:rPr>
      <w:rFonts w:ascii="Noto Sans" w:hAnsi="Noto Sans"/>
      <w:b/>
      <w:bCs/>
      <w:color w:val="17365D"/>
      <w:spacing w:val="20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6" w:space="4" w:color="5B9BD5"/>
      </w:pBdr>
      <w:spacing w:before="360" w:after="200"/>
      <w:ind w:start="360" w:end="360"/>
      <w:outlineLvl w:val="1"/>
    </w:pPr>
    <w:rPr>
      <w:rFonts w:ascii="Liberation Serif" w:hAnsi="Liberation Serif" w:eastAsia="Noto Serif CJK SC" w:cs="Noto Sans Devanagari"/>
      <w:b/>
      <w:bCs/>
      <w:color w:val="17365D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60" w:after="100"/>
      <w:ind w:start="260" w:end="260"/>
      <w:outlineLvl w:val="2"/>
    </w:pPr>
    <w:rPr>
      <w:rFonts w:ascii="Liberation Serif" w:hAnsi="Liberation Serif" w:eastAsia="Noto Serif CJK SC" w:cs="Noto Sans Devanagari"/>
      <w:b/>
      <w:bCs/>
      <w:color w:val="2F5597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00" w:after="100"/>
      <w:ind w:start="100" w:end="10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title">
    <w:name w:val="Body Text.subtitle"/>
    <w:basedOn w:val="BodyText"/>
    <w:qFormat/>
    <w:pPr>
      <w:spacing w:before="100" w:after="360"/>
      <w:jc w:val="center"/>
    </w:pPr>
    <w:rPr>
      <w:color w:val="475569"/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ooter-note">
    <w:name w:val="Body Text.footer-note"/>
    <w:basedOn w:val="BodyText"/>
    <w:qFormat/>
    <w:pPr>
      <w:pBdr>
        <w:top w:val="single" w:sz="2" w:space="7" w:color="CBD5E1"/>
      </w:pBdr>
      <w:spacing w:before="320" w:after="100"/>
    </w:pPr>
    <w:rPr>
      <w:color w:val="64748B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DTS v2.2.3 周报（2026年8月24日—8月28日）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