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52"/>
          <w:szCs w:val="52"/>
        </w:rPr>
        <w:t xml:space="preserve">platform.pub</w:t>
      </w:r>
    </w:p>
    <w:p>
      <w:pPr>
        <w:spacing w:after="80"/>
      </w:pPr>
      <w:r>
        <w:rPr>
          <w:rFonts w:ascii="Arial" w:cs="Arial" w:eastAsia="Arial" w:hAnsi="Arial"/>
          <w:color w:val="2E75B6"/>
          <w:sz w:val="32"/>
          <w:szCs w:val="32"/>
        </w:rPr>
        <w:t xml:space="preserve">Architectural Decision Record</w:t>
      </w:r>
    </w:p>
    <w:p>
      <w:pPr>
        <w:spacing w:after="480"/>
      </w:pPr>
      <w:r>
        <w:rPr>
          <w:rFonts w:ascii="Arial" w:cs="Arial" w:eastAsia="Arial" w:hAnsi="Arial"/>
          <w:color w:val="666666"/>
          <w:sz w:val="22"/>
          <w:szCs w:val="22"/>
        </w:rPr>
        <w:t xml:space="preserve">Draft v0.7 — 13 March 2026</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v0.7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March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Journeys completed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2, 3, 4, 5 (all launch-critical journeys)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Paywall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Settled — split event model with vault (kind 39701) and key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Settled — four read states, three-stage money flow, thresholds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Consumption receipt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Settled — kind 9901, platform-signed, hashed reader identity</w:t>
            </w:r>
          </w:p>
        </w:tc>
      </w:tr>
    </w:tbl>
    <w:p>
      <w:pPr>
        <w:spacing w:after="160"/>
      </w:pPr>
      <w:r>
        <w:rPr>
          <w:rFonts w:ascii="Arial" w:cs="Arial" w:eastAsia="Arial" w:hAnsi="Arial"/>
          <w:b w:val="false"/>
          <w:bCs w:val="false"/>
          <w:sz w:val="20"/>
          <w:szCs w:val="20"/>
        </w:rPr>
        <w:t xml:space="preserve"/>
      </w:r>
    </w:p>
    <w:p>
      <w:pPr>
        <w:pStyle w:val="Heading1"/>
        <w:spacing w:before="360" w:after="200"/>
      </w:pPr>
      <w:r>
        <w:rPr>
          <w:rFonts w:ascii="Arial" w:cs="Arial" w:eastAsia="Arial" w:hAnsi="Arial"/>
          <w:b/>
          <w:bCs/>
          <w:sz w:val="32"/>
          <w:szCs w:val="32"/>
        </w:rPr>
        <w:t xml:space="preserve">How to Read This Document</w:t>
      </w:r>
    </w:p>
    <w:p>
      <w:pPr>
        <w:spacing w:after="160"/>
      </w:pPr>
      <w:r>
        <w:rPr>
          <w:rFonts w:ascii="Arial" w:cs="Arial" w:eastAsia="Arial" w:hAnsi="Arial"/>
          <w:b w:val="false"/>
          <w:bCs w:val="false"/>
          <w:sz w:val="20"/>
          <w:szCs w:val="20"/>
        </w:rPr>
        <w:t xml:space="preserve">This document is divided into three parts, each written for a different reader.</w:t>
      </w:r>
    </w:p>
    <w:p>
      <w:pPr>
        <w:spacing w:after="160"/>
      </w:pPr>
      <w:r>
        <w:rPr>
          <w:rFonts w:ascii="Arial" w:cs="Arial" w:eastAsia="Arial" w:hAnsi="Arial"/>
          <w:b/>
          <w:bCs/>
          <w:sz w:val="20"/>
          <w:szCs w:val="20"/>
        </w:rPr>
        <w:t xml:space="preserve">Part I: Vision and Strategy</w:t>
      </w:r>
      <w:r>
        <w:rPr>
          <w:rFonts w:ascii="Arial" w:cs="Arial" w:eastAsia="Arial" w:hAnsi="Arial"/>
          <w:sz w:val="20"/>
          <w:szCs w:val="20"/>
        </w:rPr>
        <w:t xml:space="preserve"> covers the project’s purpose, the core economic pitch, the go-to-market plan, the revenue model, competitive positioning, and risks. Read this if you are a prospective launch-cohort writer, an advisor, or anyone evaluating whether the project makes sense as a business.</w:t>
      </w:r>
    </w:p>
    <w:p>
      <w:pPr>
        <w:spacing w:after="160"/>
      </w:pPr>
      <w:r>
        <w:rPr>
          <w:rFonts w:ascii="Arial" w:cs="Arial" w:eastAsia="Arial" w:hAnsi="Arial"/>
          <w:b/>
          <w:bCs/>
          <w:sz w:val="20"/>
          <w:szCs w:val="20"/>
        </w:rPr>
        <w:t xml:space="preserve">Part II: Architecture</w:t>
      </w:r>
      <w:r>
        <w:rPr>
          <w:rFonts w:ascii="Arial" w:cs="Arial" w:eastAsia="Arial" w:hAnsi="Arial"/>
          <w:sz w:val="20"/>
          <w:szCs w:val="20"/>
        </w:rPr>
        <w:t xml:space="preserve"> covers protocol choice (Nostr), the content model, the paywall access model, the payment architecture, feed design, federation, interoperability, and moderation. Read this if you are an engineer, a technical co-founder, or anyone evaluating whether the system can be built as described.</w:t>
      </w:r>
    </w:p>
    <w:p>
      <w:pPr>
        <w:spacing w:after="160"/>
      </w:pPr>
      <w:r>
        <w:rPr>
          <w:rFonts w:ascii="Arial" w:cs="Arial" w:eastAsia="Arial" w:hAnsi="Arial"/>
          <w:b/>
          <w:bCs/>
          <w:sz w:val="20"/>
          <w:szCs w:val="20"/>
        </w:rPr>
        <w:t xml:space="preserve">Part III: Implementation Plan</w:t>
      </w:r>
      <w:r>
        <w:rPr>
          <w:rFonts w:ascii="Arial" w:cs="Arial" w:eastAsia="Arial" w:hAnsi="Arial"/>
          <w:sz w:val="20"/>
          <w:szCs w:val="20"/>
        </w:rPr>
        <w:t xml:space="preserve"> covers the technology stack, the user journey map, open questions, and the ecosystem tools to evaluate. Read this if you are planning the build or want to understand what gets built when and what remains unresolved.</w:t>
      </w:r>
    </w:p>
    <w:p>
      <w:pPr>
        <w:spacing w:after="160"/>
      </w:pPr>
      <w:r>
        <w:rPr>
          <w:rFonts w:ascii="Arial" w:cs="Arial" w:eastAsia="Arial" w:hAnsi="Arial"/>
          <w:b w:val="false"/>
          <w:bCs w:val="false"/>
          <w:sz w:val="20"/>
          <w:szCs w:val="20"/>
        </w:rPr>
        <w:t xml:space="preserve">Cross-references between parts use the § symbol (e.g., “see §II.3” means Part II, Section 3).</w:t>
      </w:r>
    </w:p>
    <w:p>
      <w:pPr>
        <w:pBdr>
          <w:bottom w:val="single" w:color="2E75B6" w:sz="6" w:space="1"/>
        </w:pBdr>
        <w:spacing w:before="200" w:after="200"/>
      </w:pPr>
    </w:p>
    <w:p>
      <w:r>
        <w:br w:type="page"/>
      </w:r>
    </w:p>
    <w:p>
      <w:pPr>
        <w:spacing w:before="240" w:after="360"/>
      </w:pPr>
      <w:r>
        <w:rPr>
          <w:rFonts w:ascii="Arial" w:cs="Arial" w:eastAsia="Arial" w:hAnsi="Arial"/>
          <w:b/>
          <w:bCs/>
          <w:color w:val="1F3864"/>
          <w:sz w:val="40"/>
          <w:szCs w:val="40"/>
        </w:rPr>
        <w:t xml:space="preserve">Part I: Vision and Strategy</w:t>
      </w:r>
    </w:p>
    <w:p>
      <w:pPr>
        <w:pBdr>
          <w:bottom w:val="single" w:color="2E75B6" w:sz="6" w:space="1"/>
        </w:pBdr>
        <w:spacing w:before="200" w:after="200"/>
      </w:pPr>
    </w:p>
    <w:p>
      <w:pPr>
        <w:pStyle w:val="Heading1"/>
        <w:spacing w:before="360" w:after="200"/>
      </w:pPr>
      <w:r>
        <w:rPr>
          <w:rFonts w:ascii="Arial" w:cs="Arial" w:eastAsia="Arial" w:hAnsi="Arial"/>
          <w:b/>
          <w:bCs/>
          <w:sz w:val="32"/>
          <w:szCs w:val="32"/>
        </w:rPr>
        <w:t xml:space="preserve">I.1. Project Vision</w:t>
      </w:r>
    </w:p>
    <w:p>
      <w:pPr>
        <w:spacing w:after="160"/>
      </w:pPr>
      <w:r>
        <w:rPr>
          <w:rFonts w:ascii="Arial" w:cs="Arial" w:eastAsia="Arial" w:hAnsi="Arial"/>
          <w:b w:val="false"/>
          <w:bCs w:val="false"/>
          <w:sz w:val="20"/>
          <w:szCs w:val="20"/>
        </w:rPr>
        <w:t xml:space="preserve">platform.pub is a publishing and social platform combining the authorial depth of Substack with the social immediacy of Twitter, built on decentralised infrastructure. The platform prioritises:</w:t>
      </w:r>
    </w:p>
    <w:p>
      <w:pPr>
        <w:pStyle w:val="ListParagraph"/>
        <w:numPr>
          <w:ilvl w:val="0"/>
          <w:numId w:val="2"/>
        </w:numPr>
        <w:spacing w:after="80"/>
      </w:pPr>
      <w:r>
        <w:rPr>
          <w:rFonts w:ascii="Arial" w:cs="Arial" w:eastAsia="Arial" w:hAnsi="Arial"/>
          <w:b/>
          <w:bCs/>
          <w:sz w:val="20"/>
          <w:szCs w:val="20"/>
        </w:rPr>
        <w:t xml:space="preserve">Creator sovereignty: </w:t>
      </w:r>
      <w:r>
        <w:rPr>
          <w:rFonts w:ascii="Arial" w:cs="Arial" w:eastAsia="Arial" w:hAnsi="Arial"/>
          <w:sz w:val="20"/>
          <w:szCs w:val="20"/>
        </w:rPr>
        <w:t xml:space="preserve">Writers own their identity, audience, and content unconditionally. If a writer leaves the platform — or is asked to leave — they take everything with them: their cryptographic identity, their published content, and their follower relationships. Nothing is locked to the hosted platform.</w:t>
      </w:r>
    </w:p>
    <w:p>
      <w:pPr>
        <w:pStyle w:val="ListParagraph"/>
        <w:numPr>
          <w:ilvl w:val="0"/>
          <w:numId w:val="2"/>
        </w:numPr>
        <w:spacing w:after="80"/>
      </w:pPr>
      <w:r>
        <w:rPr>
          <w:rFonts w:ascii="Arial" w:cs="Arial" w:eastAsia="Arial" w:hAnsi="Arial"/>
          <w:b/>
          <w:bCs/>
          <w:sz w:val="20"/>
          <w:szCs w:val="20"/>
        </w:rPr>
        <w:t xml:space="preserve">Reader-funded economics: </w:t>
      </w:r>
      <w:r>
        <w:rPr>
          <w:rFonts w:ascii="Arial" w:cs="Arial" w:eastAsia="Arial" w:hAnsi="Arial"/>
          <w:sz w:val="20"/>
          <w:szCs w:val="20"/>
        </w:rPr>
        <w:t xml:space="preserve">Micropayments and subscriptions flow from readers to creators, with no advertising model.</w:t>
      </w:r>
    </w:p>
    <w:p>
      <w:pPr>
        <w:pStyle w:val="ListParagraph"/>
        <w:numPr>
          <w:ilvl w:val="0"/>
          <w:numId w:val="2"/>
        </w:numPr>
        <w:spacing w:after="80"/>
      </w:pPr>
      <w:r>
        <w:rPr>
          <w:rFonts w:ascii="Arial" w:cs="Arial" w:eastAsia="Arial" w:hAnsi="Arial"/>
          <w:b/>
          <w:bCs/>
          <w:sz w:val="20"/>
          <w:szCs w:val="20"/>
        </w:rPr>
        <w:t xml:space="preserve">Cross-creator revenue pooling: </w:t>
      </w:r>
      <w:r>
        <w:rPr>
          <w:rFonts w:ascii="Arial" w:cs="Arial" w:eastAsia="Arial" w:hAnsi="Arial"/>
          <w:sz w:val="20"/>
          <w:szCs w:val="20"/>
        </w:rPr>
        <w:t xml:space="preserve">The reading tab (§II.3) means readers pay across all the writers they read, not per-subscription. Writers earn from every reader who encounters their work — including casual readers who would never have committed to an individual subscription. This is the platform’s core economic differentiator.</w:t>
      </w:r>
    </w:p>
    <w:p>
      <w:pPr>
        <w:pStyle w:val="ListParagraph"/>
        <w:numPr>
          <w:ilvl w:val="0"/>
          <w:numId w:val="2"/>
        </w:numPr>
        <w:spacing w:after="80"/>
      </w:pPr>
      <w:r>
        <w:rPr>
          <w:rFonts w:ascii="Arial" w:cs="Arial" w:eastAsia="Arial" w:hAnsi="Arial"/>
          <w:b/>
          <w:bCs/>
          <w:sz w:val="20"/>
          <w:szCs w:val="20"/>
        </w:rPr>
        <w:t xml:space="preserve">Architectural openness: </w:t>
      </w:r>
      <w:r>
        <w:rPr>
          <w:rFonts w:ascii="Arial" w:cs="Arial" w:eastAsia="Arial" w:hAnsi="Arial"/>
          <w:sz w:val="20"/>
          <w:szCs w:val="20"/>
        </w:rPr>
        <w:t xml:space="preserve">At the protocol level, no single entity can gatekeep access or extract asymmetric rent. Any user can run their own instance, and the protocol treats all instances identically. At the platform level, the hosted service at platform.pub maintains community standards and moderates content — but enforcement on the hosted platform never destroys a creator’s ability to publish and earn elsewhere.</w:t>
      </w:r>
    </w:p>
    <w:p>
      <w:pPr>
        <w:pStyle w:val="ListParagraph"/>
        <w:numPr>
          <w:ilvl w:val="0"/>
          <w:numId w:val="2"/>
        </w:numPr>
        <w:spacing w:after="80"/>
      </w:pPr>
      <w:r>
        <w:rPr>
          <w:rFonts w:ascii="Arial" w:cs="Arial" w:eastAsia="Arial" w:hAnsi="Arial"/>
          <w:b/>
          <w:bCs/>
          <w:sz w:val="20"/>
          <w:szCs w:val="20"/>
        </w:rPr>
        <w:t xml:space="preserve">Seamless interoperability: </w:t>
      </w:r>
      <w:r>
        <w:rPr>
          <w:rFonts w:ascii="Arial" w:cs="Arial" w:eastAsia="Arial" w:hAnsi="Arial"/>
          <w:sz w:val="20"/>
          <w:szCs w:val="20"/>
        </w:rPr>
        <w:t xml:space="preserve">Content flows to and from other social platforms with minimum friction.</w:t>
      </w:r>
    </w:p>
    <w:p>
      <w:pPr>
        <w:pStyle w:val="ListParagraph"/>
        <w:numPr>
          <w:ilvl w:val="0"/>
          <w:numId w:val="2"/>
        </w:numPr>
        <w:spacing w:after="80"/>
      </w:pPr>
      <w:r>
        <w:rPr>
          <w:rFonts w:ascii="Arial" w:cs="Arial" w:eastAsia="Arial" w:hAnsi="Arial"/>
          <w:b/>
          <w:bCs/>
          <w:sz w:val="20"/>
          <w:szCs w:val="20"/>
        </w:rPr>
        <w:t xml:space="preserve">Comfortable defaults: </w:t>
      </w:r>
      <w:r>
        <w:rPr>
          <w:rFonts w:ascii="Arial" w:cs="Arial" w:eastAsia="Arial" w:hAnsi="Arial"/>
          <w:sz w:val="20"/>
          <w:szCs w:val="20"/>
        </w:rPr>
        <w:t xml:space="preserve">Most users interact with a hosted service that feels like any modern web app. Decentralisation is infrastructure, not ideology they’re forced to confront.</w:t>
      </w:r>
    </w:p>
    <w:p>
      <w:pPr>
        <w:spacing w:after="160"/>
      </w:pPr>
      <w:r>
        <w:rPr>
          <w:rFonts w:ascii="Arial" w:cs="Arial" w:eastAsia="Arial" w:hAnsi="Arial"/>
          <w:b w:val="false"/>
          <w:bCs w:val="false"/>
          <w:sz w:val="20"/>
          <w:szCs w:val="20"/>
        </w:rPr>
        <w:t xml:space="preserve"/>
      </w:r>
    </w:p>
    <w:p>
      <w:pPr>
        <w:pStyle w:val="Heading3"/>
        <w:spacing w:before="200" w:after="120"/>
      </w:pPr>
      <w:r>
        <w:rPr>
          <w:rFonts w:ascii="Arial" w:cs="Arial" w:eastAsia="Arial" w:hAnsi="Arial"/>
          <w:b/>
          <w:bCs/>
          <w:sz w:val="24"/>
          <w:szCs w:val="24"/>
        </w:rPr>
        <w:t xml:space="preserve">The Two-Tier Model</w:t>
      </w:r>
    </w:p>
    <w:p>
      <w:pPr>
        <w:spacing w:after="160"/>
      </w:pPr>
      <w:r>
        <w:rPr>
          <w:rFonts w:ascii="Arial" w:cs="Arial" w:eastAsia="Arial" w:hAnsi="Arial"/>
          <w:b/>
          <w:bCs/>
          <w:sz w:val="20"/>
          <w:szCs w:val="20"/>
        </w:rPr>
        <w:t xml:space="preserve">Default (hosted): </w:t>
      </w:r>
      <w:r>
        <w:rPr>
          <w:rFonts w:ascii="Arial" w:cs="Arial" w:eastAsia="Arial" w:hAnsi="Arial"/>
          <w:sz w:val="20"/>
          <w:szCs w:val="20"/>
        </w:rPr>
        <w:t xml:space="preserve">Users sign up on platform.pub. They get a personal feed, an identity, the ability to publish short posts, long-form articles, quote-comments, and other content forms. They browse, read, comment, and pay for content through a conventional web interface. The platform takes 8% of settled reader payments, inclusive of Stripe transaction fees.</w:t>
      </w:r>
    </w:p>
    <w:p>
      <w:pPr>
        <w:spacing w:after="160"/>
      </w:pPr>
      <w:r>
        <w:rPr>
          <w:rFonts w:ascii="Arial" w:cs="Arial" w:eastAsia="Arial" w:hAnsi="Arial"/>
          <w:b/>
          <w:bCs/>
          <w:sz w:val="20"/>
          <w:szCs w:val="20"/>
        </w:rPr>
        <w:t xml:space="preserve">Self-hosted: </w:t>
      </w:r>
      <w:r>
        <w:rPr>
          <w:rFonts w:ascii="Arial" w:cs="Arial" w:eastAsia="Arial" w:hAnsi="Arial"/>
          <w:sz w:val="20"/>
          <w:szCs w:val="20"/>
        </w:rPr>
        <w:t xml:space="preserve">Users who want full sovereignty download a package, host it wherever they like, and administer their own instance. Self-hosted instances interoperate seamlessly with the hosted platform and with each other.</w:t>
      </w:r>
    </w:p>
    <w:p>
      <w:pPr>
        <w:pStyle w:val="Heading1"/>
        <w:spacing w:before="360" w:after="200"/>
      </w:pPr>
      <w:r>
        <w:rPr>
          <w:rFonts w:ascii="Arial" w:cs="Arial" w:eastAsia="Arial" w:hAnsi="Arial"/>
          <w:b/>
          <w:bCs/>
          <w:sz w:val="32"/>
          <w:szCs w:val="32"/>
        </w:rPr>
        <w:t xml:space="preserve">I.2. Go-to-Market Strategy</w:t>
      </w:r>
    </w:p>
    <w:p>
      <w:pPr>
        <w:pStyle w:val="Heading3"/>
        <w:spacing w:before="200" w:after="120"/>
      </w:pPr>
      <w:r>
        <w:rPr>
          <w:rFonts w:ascii="Arial" w:cs="Arial" w:eastAsia="Arial" w:hAnsi="Arial"/>
          <w:b/>
          <w:bCs/>
          <w:sz w:val="24"/>
          <w:szCs w:val="24"/>
        </w:rPr>
        <w:t xml:space="preserve">The Core Pitch to Writers</w:t>
      </w:r>
    </w:p>
    <w:p>
      <w:pPr>
        <w:spacing w:after="160"/>
      </w:pPr>
      <w:r>
        <w:rPr>
          <w:rFonts w:ascii="Arial" w:cs="Arial" w:eastAsia="Arial" w:hAnsi="Arial"/>
          <w:b w:val="false"/>
          <w:bCs w:val="false"/>
          <w:sz w:val="20"/>
          <w:szCs w:val="20"/>
        </w:rPr>
        <w:t xml:space="preserve">The pitch to writers is not “decentralisation” or “sovereignty” — those are reasons the architecture is designed the way it is, but they are not what gets the first hundred writers through the door. The pitch is:</w:t>
      </w:r>
    </w:p>
    <w:p>
      <w:pPr>
        <w:spacing w:after="160"/>
        <w:ind w:left="720"/>
      </w:pPr>
      <w:r>
        <w:rPr>
          <w:rFonts w:ascii="Arial" w:cs="Arial" w:eastAsia="Arial" w:hAnsi="Arial"/>
          <w:b/>
          <w:bCs/>
          <w:sz w:val="20"/>
          <w:szCs w:val="20"/>
        </w:rPr>
        <w:t xml:space="preserve">“Put your paywalled content on platform.pub alongside Substack, and see if you earn more.”</w:t>
      </w:r>
    </w:p>
    <w:p>
      <w:pPr>
        <w:spacing w:after="160"/>
      </w:pPr>
      <w:r>
        <w:rPr>
          <w:rFonts w:ascii="Arial" w:cs="Arial" w:eastAsia="Arial" w:hAnsi="Arial"/>
          <w:b w:val="false"/>
          <w:bCs w:val="false"/>
          <w:sz w:val="20"/>
          <w:szCs w:val="20"/>
        </w:rPr>
        <w:t xml:space="preserve">The reading tab changes the economics of online publishing in a way that subscription models cannot. On Substack, a reader pays for one writer’s subscription. If they follow ten writers, they need ten subscriptions, and most readers won’t do that. On platform.pub, a reader doesn’t subscribe to individual writers. They read, and the tab tracks what they owe across all creators. A reader who would never commit to a £5/month subscription for a writer they’re mildly curious about will happily read a single £1 article, because the tab absorbs it silently alongside articles from the writers they read regularly.</w:t>
      </w:r>
    </w:p>
    <w:p>
      <w:pPr>
        <w:pStyle w:val="Heading3"/>
        <w:spacing w:before="200" w:after="120"/>
      </w:pPr>
      <w:r>
        <w:rPr>
          <w:rFonts w:ascii="Arial" w:cs="Arial" w:eastAsia="Arial" w:hAnsi="Arial"/>
          <w:b/>
          <w:bCs/>
          <w:sz w:val="24"/>
          <w:szCs w:val="24"/>
        </w:rPr>
        <w:t xml:space="preserve">Bootstrapping Strategy</w:t>
      </w:r>
    </w:p>
    <w:p>
      <w:pPr>
        <w:spacing w:after="160"/>
      </w:pPr>
      <w:r>
        <w:rPr>
          <w:rFonts w:ascii="Arial" w:cs="Arial" w:eastAsia="Arial" w:hAnsi="Arial"/>
          <w:b w:val="false"/>
          <w:bCs w:val="false"/>
          <w:sz w:val="20"/>
          <w:szCs w:val="20"/>
        </w:rPr>
        <w:t xml:space="preserve">The founder is embedded in the literary and book publishing world and personally connected to a significant number of working writers, many of whom have active Substack publications.</w:t>
      </w:r>
    </w:p>
    <w:p>
      <w:pPr>
        <w:pStyle w:val="ListParagraph"/>
        <w:numPr>
          <w:ilvl w:val="0"/>
          <w:numId w:val="2"/>
        </w:numPr>
        <w:spacing w:after="80"/>
      </w:pPr>
      <w:r>
        <w:rPr>
          <w:rFonts w:ascii="Arial" w:cs="Arial" w:eastAsia="Arial" w:hAnsi="Arial"/>
          <w:b/>
          <w:bCs/>
          <w:sz w:val="20"/>
          <w:szCs w:val="20"/>
        </w:rPr>
        <w:t xml:space="preserve">Phase 1 — Concentrated launch cohort: </w:t>
      </w:r>
      <w:r>
        <w:rPr>
          <w:rFonts w:ascii="Arial" w:cs="Arial" w:eastAsia="Arial" w:hAnsi="Arial"/>
          <w:sz w:val="20"/>
          <w:szCs w:val="20"/>
        </w:rPr>
        <w:t xml:space="preserve">Recruit approximately 20–30 writers with established Substack audiences to publish paywalled content on platform.pub simultaneously. The cohort launches together, cross-promoting on Substack Notes, Twitter/X, and other channels. A trickle of individual launches would not achieve the required network effect; the economics require a critical mass of content and readers arriving together.</w:t>
      </w:r>
    </w:p>
    <w:p>
      <w:pPr>
        <w:pStyle w:val="ListParagraph"/>
        <w:numPr>
          <w:ilvl w:val="0"/>
          <w:numId w:val="2"/>
        </w:numPr>
        <w:spacing w:after="80"/>
      </w:pPr>
      <w:r>
        <w:rPr>
          <w:rFonts w:ascii="Arial" w:cs="Arial" w:eastAsia="Arial" w:hAnsi="Arial"/>
          <w:b/>
          <w:bCs/>
          <w:sz w:val="20"/>
          <w:szCs w:val="20"/>
        </w:rPr>
        <w:t xml:space="preserve">Phase 2 — Organic growth via reader acquisition: </w:t>
      </w:r>
      <w:r>
        <w:rPr>
          <w:rFonts w:ascii="Arial" w:cs="Arial" w:eastAsia="Arial" w:hAnsi="Arial"/>
          <w:sz w:val="20"/>
          <w:szCs w:val="20"/>
        </w:rPr>
        <w:t xml:space="preserve">Each reader who connects their payment method becomes a participant in the shared reading pool. The pool’s value to writers grows with every new paying reader, creating a virtuous cycle.</w:t>
      </w:r>
    </w:p>
    <w:p>
      <w:pPr>
        <w:pStyle w:val="ListParagraph"/>
        <w:numPr>
          <w:ilvl w:val="0"/>
          <w:numId w:val="2"/>
        </w:numPr>
        <w:spacing w:after="80"/>
      </w:pPr>
      <w:r>
        <w:rPr>
          <w:rFonts w:ascii="Arial" w:cs="Arial" w:eastAsia="Arial" w:hAnsi="Arial"/>
          <w:b/>
          <w:bCs/>
          <w:sz w:val="20"/>
          <w:szCs w:val="20"/>
        </w:rPr>
        <w:t xml:space="preserve">Phase 3 — Writer expansion: </w:t>
      </w:r>
      <w:r>
        <w:rPr>
          <w:rFonts w:ascii="Arial" w:cs="Arial" w:eastAsia="Arial" w:hAnsi="Arial"/>
          <w:sz w:val="20"/>
          <w:szCs w:val="20"/>
        </w:rPr>
        <w:t xml:space="preserve">Writers who see revenue uplift become advocates. Word-of-mouth from the launch cohort recruits the next cohort.</w:t>
      </w:r>
    </w:p>
    <w:p>
      <w:pPr>
        <w:spacing w:after="160"/>
      </w:pPr>
      <w:r>
        <w:rPr>
          <w:rFonts w:ascii="Arial" w:cs="Arial" w:eastAsia="Arial" w:hAnsi="Arial"/>
          <w:b w:val="false"/>
          <w:bCs w:val="false"/>
          <w:sz w:val="20"/>
          <w:szCs w:val="20"/>
        </w:rPr>
        <w:t xml:space="preserve"/>
      </w:r>
    </w:p>
    <w:p>
      <w:pPr>
        <w:spacing w:after="160"/>
      </w:pPr>
      <w:r>
        <w:rPr>
          <w:rFonts w:ascii="Arial" w:cs="Arial" w:eastAsia="Arial" w:hAnsi="Arial"/>
          <w:b w:val="false"/>
          <w:bCs w:val="false"/>
          <w:sz w:val="20"/>
          <w:szCs w:val="20"/>
        </w:rPr>
        <w:t xml:space="preserve">The ask of launch cohort writers is to manually republish selected pieces — not their entire back catalogue. Five to ten strong paywalled essays gives a new reader enough depth to discover the platform’s value. Publishing on platform.pub should be an intentional act; the platform provides no automated import or cross-posting tooling. This is a product values decision: a writer choosing to publish here should mean something.</w:t>
      </w:r>
    </w:p>
    <w:p>
      <w:pPr>
        <w:pStyle w:val="Heading3"/>
        <w:spacing w:before="200" w:after="120"/>
      </w:pPr>
      <w:r>
        <w:rPr>
          <w:rFonts w:ascii="Arial" w:cs="Arial" w:eastAsia="Arial" w:hAnsi="Arial"/>
          <w:b/>
          <w:bCs/>
          <w:sz w:val="24"/>
          <w:szCs w:val="24"/>
        </w:rPr>
        <w:t xml:space="preserve">What Must Work at Launch</w:t>
      </w:r>
    </w:p>
    <w:p>
      <w:pPr>
        <w:pStyle w:val="ListParagraph"/>
        <w:numPr>
          <w:ilvl w:val="0"/>
          <w:numId w:val="2"/>
        </w:numPr>
        <w:spacing w:after="80"/>
      </w:pPr>
      <w:r>
        <w:rPr>
          <w:rFonts w:ascii="Arial" w:cs="Arial" w:eastAsia="Arial" w:hAnsi="Arial"/>
          <w:sz w:val="20"/>
          <w:szCs w:val="20"/>
        </w:rPr>
        <w:t xml:space="preserve">The paywall. Split-event model with vault encryption (§II.4a). Seamless, instant, no friction for the reader.</w:t>
      </w:r>
    </w:p>
    <w:p>
      <w:pPr>
        <w:pStyle w:val="ListParagraph"/>
        <w:numPr>
          <w:ilvl w:val="0"/>
          <w:numId w:val="2"/>
        </w:numPr>
        <w:spacing w:after="80"/>
      </w:pPr>
      <w:r>
        <w:rPr>
          <w:rFonts w:ascii="Arial" w:cs="Arial" w:eastAsia="Arial" w:hAnsi="Arial"/>
          <w:sz w:val="20"/>
          <w:szCs w:val="20"/>
        </w:rPr>
        <w:t xml:space="preserve">The free sample. First £5 of reading just works, no card required. This converts curious visitors into readers who connect their card.</w:t>
      </w:r>
    </w:p>
    <w:p>
      <w:pPr>
        <w:pStyle w:val="ListParagraph"/>
        <w:numPr>
          <w:ilvl w:val="0"/>
          <w:numId w:val="2"/>
        </w:numPr>
        <w:spacing w:after="80"/>
      </w:pPr>
      <w:r>
        <w:rPr>
          <w:rFonts w:ascii="Arial" w:cs="Arial" w:eastAsia="Arial" w:hAnsi="Arial"/>
          <w:sz w:val="20"/>
          <w:szCs w:val="20"/>
        </w:rPr>
        <w:t xml:space="preserve">The reading tab and settlement. Automatic, reliable, transparent. Tab accrues silently, Stripe settles automatically, writers see earnings in a clear dashboard.</w:t>
      </w:r>
    </w:p>
    <w:p>
      <w:pPr>
        <w:pStyle w:val="ListParagraph"/>
        <w:numPr>
          <w:ilvl w:val="0"/>
          <w:numId w:val="2"/>
        </w:numPr>
        <w:spacing w:after="80"/>
      </w:pPr>
      <w:r>
        <w:rPr>
          <w:rFonts w:ascii="Arial" w:cs="Arial" w:eastAsia="Arial" w:hAnsi="Arial"/>
          <w:sz w:val="20"/>
          <w:szCs w:val="20"/>
        </w:rPr>
        <w:t xml:space="preserve">Stripe Connect onboarding for writers. Fast, simple, no more painful than Substack’s existing payment setup.</w:t>
      </w:r>
    </w:p>
    <w:p>
      <w:pPr>
        <w:pStyle w:val="ListParagraph"/>
        <w:numPr>
          <w:ilvl w:val="0"/>
          <w:numId w:val="2"/>
        </w:numPr>
        <w:spacing w:after="80"/>
      </w:pPr>
      <w:r>
        <w:rPr>
          <w:rFonts w:ascii="Arial" w:cs="Arial" w:eastAsia="Arial" w:hAnsi="Arial"/>
          <w:sz w:val="20"/>
          <w:szCs w:val="20"/>
        </w:rPr>
        <w:t xml:space="preserve">The native publishing experience. Rich text editor with draggable paywall gate marker. Writers must publish natively; the experience must be good enough that this doesn’t feel like extra work.</w:t>
      </w:r>
    </w:p>
    <w:p>
      <w:pPr>
        <w:pStyle w:val="ListParagraph"/>
        <w:numPr>
          <w:ilvl w:val="0"/>
          <w:numId w:val="2"/>
        </w:numPr>
        <w:spacing w:after="80"/>
      </w:pPr>
      <w:r>
        <w:rPr>
          <w:rFonts w:ascii="Arial" w:cs="Arial" w:eastAsia="Arial" w:hAnsi="Arial"/>
          <w:sz w:val="20"/>
          <w:szCs w:val="20"/>
        </w:rPr>
        <w:t xml:space="preserve">The social feed and comments. The thing that makes writers stay is the social experience — conversations in comments, discovery through the feed, the feeling of a literary commons.</w:t>
      </w:r>
    </w:p>
    <w:p>
      <w:pPr>
        <w:pStyle w:val="ListParagraph"/>
        <w:numPr>
          <w:ilvl w:val="0"/>
          <w:numId w:val="2"/>
        </w:numPr>
        <w:spacing w:after="80"/>
      </w:pPr>
      <w:r>
        <w:rPr>
          <w:rFonts w:ascii="Arial" w:cs="Arial" w:eastAsia="Arial" w:hAnsi="Arial"/>
          <w:sz w:val="20"/>
          <w:szCs w:val="20"/>
        </w:rPr>
        <w:t xml:space="preserve">The writer earnings dashboard. Writers are running an experiment: “do I earn more here?” The dashboard must show settled per-article revenue, with a clear breakdown of platform-settled and writer-paid amounts.</w:t>
      </w:r>
    </w:p>
    <w:p>
      <w:pPr>
        <w:spacing w:after="160"/>
      </w:pPr>
      <w:r>
        <w:rPr>
          <w:rFonts w:ascii="Arial" w:cs="Arial" w:eastAsia="Arial" w:hAnsi="Arial"/>
          <w:b w:val="false"/>
          <w:bCs w:val="false"/>
          <w:sz w:val="20"/>
          <w:szCs w:val="20"/>
        </w:rPr>
        <w:t xml:space="preserve"/>
      </w:r>
    </w:p>
    <w:p>
      <w:pPr>
        <w:spacing w:after="160"/>
      </w:pPr>
      <w:r>
        <w:rPr>
          <w:rFonts w:ascii="Arial" w:cs="Arial" w:eastAsia="Arial" w:hAnsi="Arial"/>
          <w:b w:val="false"/>
          <w:bCs w:val="false"/>
          <w:sz w:val="20"/>
          <w:szCs w:val="20"/>
        </w:rPr>
        <w:t xml:space="preserve">Features deferred past launch: inter-instance federation and settlement, creator federations, Lightning/Cashu payment flows, Mostr bridge, self-hosted packaging, advanced feed algorithms, Substack import tooling, cross-posting automation.</w:t>
      </w:r>
    </w:p>
    <w:p>
      <w:pPr>
        <w:pStyle w:val="Heading1"/>
        <w:spacing w:before="360" w:after="200"/>
      </w:pPr>
      <w:r>
        <w:rPr>
          <w:rFonts w:ascii="Arial" w:cs="Arial" w:eastAsia="Arial" w:hAnsi="Arial"/>
          <w:b/>
          <w:bCs/>
          <w:sz w:val="32"/>
          <w:szCs w:val="32"/>
        </w:rPr>
        <w:t xml:space="preserve">I.3. Revenue Model</w:t>
      </w:r>
    </w:p>
    <w:p>
      <w:pPr>
        <w:pStyle w:val="Heading3"/>
        <w:spacing w:before="200" w:after="120"/>
      </w:pPr>
      <w:r>
        <w:rPr>
          <w:rFonts w:ascii="Arial" w:cs="Arial" w:eastAsia="Arial" w:hAnsi="Arial"/>
          <w:b/>
          <w:bCs/>
          <w:sz w:val="24"/>
          <w:szCs w:val="24"/>
        </w:rPr>
        <w:t xml:space="preserve">Platform Cut</w:t>
      </w:r>
    </w:p>
    <w:p>
      <w:pPr>
        <w:spacing w:after="160"/>
      </w:pPr>
      <w:r>
        <w:rPr>
          <w:rFonts w:ascii="Arial" w:cs="Arial" w:eastAsia="Arial" w:hAnsi="Arial"/>
          <w:b w:val="false"/>
          <w:bCs w:val="false"/>
          <w:sz w:val="20"/>
          <w:szCs w:val="20"/>
        </w:rPr>
        <w:t xml:space="preserve">The platform takes 8% of all settled reader payments. This cut is inclusive of Stripe transaction fees — writers see a clean percentage, not a variable net-of-fees figure. The cut is taken at Stage 2 (tab settlement, when the platform receives payment from the reader) before writer credit is calculated. Writers’ dashboards show post-cut earnings throughout.</w:t>
      </w:r>
    </w:p>
    <w:p>
      <w:pPr>
        <w:spacing w:after="160"/>
      </w:pPr>
      <w:r>
        <w:rPr>
          <w:rFonts w:ascii="Arial" w:cs="Arial" w:eastAsia="Arial" w:hAnsi="Arial"/>
          <w:b w:val="false"/>
          <w:bCs w:val="false"/>
          <w:sz w:val="20"/>
          <w:szCs w:val="20"/>
        </w:rPr>
        <w:t xml:space="preserve">The 8% is competitive against Substack’s 10% and covers Stripe’s effective ~4% transaction cost on typical settlements, leaving 4% net for platform infrastructure and bad debt from the free allowance.</w:t>
      </w:r>
    </w:p>
    <w:p>
      <w:pPr>
        <w:pStyle w:val="Heading3"/>
        <w:spacing w:before="200" w:after="120"/>
      </w:pPr>
      <w:r>
        <w:rPr>
          <w:rFonts w:ascii="Arial" w:cs="Arial" w:eastAsia="Arial" w:hAnsi="Arial"/>
          <w:b/>
          <w:bCs/>
          <w:sz w:val="24"/>
          <w:szCs w:val="24"/>
        </w:rPr>
        <w:t xml:space="preserve">The Free Allowance as Acquisition Cost</w:t>
      </w:r>
    </w:p>
    <w:p>
      <w:pPr>
        <w:spacing w:after="160"/>
      </w:pPr>
      <w:r>
        <w:rPr>
          <w:rFonts w:ascii="Arial" w:cs="Arial" w:eastAsia="Arial" w:hAnsi="Arial"/>
          <w:b w:val="false"/>
          <w:bCs w:val="false"/>
          <w:sz w:val="20"/>
          <w:szCs w:val="20"/>
        </w:rPr>
        <w:t xml:space="preserve">Each new reader receives a £5 reading allowance on account creation. This is a genuine liability — real debt owed to writers, underwritten by the platform. Writers are credited only when the platform has actually received payment. Reads on the free allowance that never convert to payment are written off at the platform level; writers never see them as earnings.</w:t>
      </w:r>
    </w:p>
    <w:p>
      <w:pPr>
        <w:spacing w:after="160"/>
      </w:pPr>
      <w:r>
        <w:rPr>
          <w:rFonts w:ascii="Arial" w:cs="Arial" w:eastAsia="Arial" w:hAnsi="Arial"/>
          <w:b w:val="false"/>
          <w:bCs w:val="false"/>
          <w:sz w:val="20"/>
          <w:szCs w:val="20"/>
        </w:rPr>
        <w:t xml:space="preserve">This means writers contribute to the platform’s growth by providing content that attracts and converts free-sample readers. The free-sample conversion rate is the most important metric to track in the early phase.</w:t>
      </w:r>
    </w:p>
    <w:p>
      <w:pPr>
        <w:pStyle w:val="Heading3"/>
        <w:spacing w:before="200" w:after="120"/>
      </w:pPr>
      <w:r>
        <w:rPr>
          <w:rFonts w:ascii="Arial" w:cs="Arial" w:eastAsia="Arial" w:hAnsi="Arial"/>
          <w:b/>
          <w:bCs/>
          <w:sz w:val="24"/>
          <w:szCs w:val="24"/>
        </w:rPr>
        <w:t xml:space="preserve">Competitive Position</w:t>
      </w:r>
    </w:p>
    <w:p>
      <w:pPr>
        <w:spacing w:after="160"/>
      </w:pPr>
      <w:r>
        <w:rPr>
          <w:rFonts w:ascii="Arial" w:cs="Arial" w:eastAsia="Arial" w:hAnsi="Arial"/>
          <w:b/>
          <w:bCs/>
          <w:sz w:val="20"/>
          <w:szCs w:val="20"/>
        </w:rPr>
        <w:t xml:space="preserve">Against Substack: </w:t>
      </w:r>
      <w:r>
        <w:rPr>
          <w:rFonts w:ascii="Arial" w:cs="Arial" w:eastAsia="Arial" w:hAnsi="Arial"/>
          <w:sz w:val="20"/>
          <w:szCs w:val="20"/>
        </w:rPr>
        <w:t xml:space="preserve">Lower platform fee (8% vs 10%). Cross-creator revenue pooling via the reading tab (Substack has no equivalent). Portable identity and audience.</w:t>
      </w:r>
    </w:p>
    <w:p>
      <w:pPr>
        <w:spacing w:after="160"/>
      </w:pPr>
      <w:r>
        <w:rPr>
          <w:rFonts w:ascii="Arial" w:cs="Arial" w:eastAsia="Arial" w:hAnsi="Arial"/>
          <w:b/>
          <w:bCs/>
          <w:sz w:val="20"/>
          <w:szCs w:val="20"/>
        </w:rPr>
        <w:t xml:space="preserve">Against Ghost: </w:t>
      </w:r>
      <w:r>
        <w:rPr>
          <w:rFonts w:ascii="Arial" w:cs="Arial" w:eastAsia="Arial" w:hAnsi="Arial"/>
          <w:sz w:val="20"/>
          <w:szCs w:val="20"/>
        </w:rPr>
        <w:t xml:space="preserve">Similar self-hosting philosophy, but platform.pub adds a social layer, a shared feed, cross-creator payments, and federation.</w:t>
      </w:r>
    </w:p>
    <w:p>
      <w:pPr>
        <w:spacing w:after="160"/>
      </w:pPr>
      <w:r>
        <w:rPr>
          <w:rFonts w:ascii="Arial" w:cs="Arial" w:eastAsia="Arial" w:hAnsi="Arial"/>
          <w:b/>
          <w:bCs/>
          <w:sz w:val="20"/>
          <w:szCs w:val="20"/>
        </w:rPr>
        <w:t xml:space="preserve">Against Bluesky: </w:t>
      </w:r>
      <w:r>
        <w:rPr>
          <w:rFonts w:ascii="Arial" w:cs="Arial" w:eastAsia="Arial" w:hAnsi="Arial"/>
          <w:sz w:val="20"/>
          <w:szCs w:val="20"/>
        </w:rPr>
        <w:t xml:space="preserve">The reading tab’s cross-creator pooling is difficult to retrofit onto a platform built around individual follows. Protocol-level portability means writers are not locked in if they want to be on both.</w:t>
      </w:r>
    </w:p>
    <w:p>
      <w:pPr>
        <w:pStyle w:val="Heading1"/>
        <w:spacing w:before="360" w:after="200"/>
      </w:pPr>
      <w:r>
        <w:rPr>
          <w:rFonts w:ascii="Arial" w:cs="Arial" w:eastAsia="Arial" w:hAnsi="Arial"/>
          <w:b/>
          <w:bCs/>
          <w:sz w:val="32"/>
          <w:szCs w:val="32"/>
        </w:rPr>
        <w:t xml:space="preserve">I.4. The Self-Hosted Economy and the Commons</w:t>
      </w:r>
    </w:p>
    <w:p>
      <w:pPr>
        <w:spacing w:after="160"/>
      </w:pPr>
      <w:r>
        <w:rPr>
          <w:rFonts w:ascii="Arial" w:cs="Arial" w:eastAsia="Arial" w:hAnsi="Arial"/>
          <w:b w:val="false"/>
          <w:bCs w:val="false"/>
          <w:sz w:val="20"/>
          <w:szCs w:val="20"/>
        </w:rPr>
        <w:t xml:space="preserve">A writer who self-hosts their own instance can set their platform fee to 0%, federate with the hosted platform, and earn revenue from the hosted platform’s reader pool without contributing to the infrastructure costs that sustain it. This is the intended consequence of the exit-right architecture. The ease of self-hosting is what keeps the hosted platform honest and its margins tight.</w:t>
      </w:r>
    </w:p>
    <w:p>
      <w:pPr>
        <w:spacing w:after="160"/>
      </w:pPr>
      <w:r>
        <w:rPr>
          <w:rFonts w:ascii="Arial" w:cs="Arial" w:eastAsia="Arial" w:hAnsi="Arial"/>
          <w:b w:val="false"/>
          <w:bCs w:val="false"/>
          <w:sz w:val="20"/>
          <w:szCs w:val="20"/>
        </w:rPr>
        <w:t xml:space="preserve">The natural defences against a tragedy-of-the-commons dynamic are the hassle of self-hosting (running infrastructure), the reader community as the moat (native content integrates more deeply), and transparency about hosting status (visible as neutral, factual information on writer profiles).</w:t>
      </w:r>
    </w:p>
    <w:p>
      <w:pPr>
        <w:spacing w:after="160"/>
      </w:pPr>
      <w:r>
        <w:rPr>
          <w:rFonts w:ascii="Arial" w:cs="Arial" w:eastAsia="Arial" w:hAnsi="Arial"/>
          <w:b w:val="false"/>
          <w:bCs w:val="false"/>
          <w:sz w:val="20"/>
          <w:szCs w:val="20"/>
        </w:rPr>
        <w:t xml:space="preserve">What the platform should not do: engineer artificial friction to penalise self-hosted writers. Where federation introduces natural latency — inter-instance settlement is inherently slower — that should be documented honestly, not exploited strategically.</w:t>
      </w:r>
    </w:p>
    <w:p>
      <w:pPr>
        <w:pStyle w:val="Heading1"/>
        <w:spacing w:before="360" w:after="200"/>
      </w:pPr>
      <w:r>
        <w:rPr>
          <w:rFonts w:ascii="Arial" w:cs="Arial" w:eastAsia="Arial" w:hAnsi="Arial"/>
          <w:b/>
          <w:bCs/>
          <w:sz w:val="32"/>
          <w:szCs w:val="32"/>
        </w:rPr>
        <w:t xml:space="preserve">I.5. Moderation Philosophy</w:t>
      </w:r>
    </w:p>
    <w:p>
      <w:pPr>
        <w:pStyle w:val="Heading3"/>
        <w:spacing w:before="200" w:after="120"/>
      </w:pPr>
      <w:r>
        <w:rPr>
          <w:rFonts w:ascii="Arial" w:cs="Arial" w:eastAsia="Arial" w:hAnsi="Arial"/>
          <w:b/>
          <w:bCs/>
          <w:sz w:val="24"/>
          <w:szCs w:val="24"/>
        </w:rPr>
        <w:t xml:space="preserve">The Tension</w:t>
      </w:r>
    </w:p>
    <w:p>
      <w:pPr>
        <w:spacing w:after="160"/>
      </w:pPr>
      <w:r>
        <w:rPr>
          <w:rFonts w:ascii="Arial" w:cs="Arial" w:eastAsia="Arial" w:hAnsi="Arial"/>
          <w:b w:val="false"/>
          <w:bCs w:val="false"/>
          <w:sz w:val="20"/>
          <w:szCs w:val="20"/>
        </w:rPr>
        <w:t xml:space="preserve">The project’s vision promises architectural openness: no single entity can gatekeep access at the protocol level. But the hosted platform will necessarily make moderation decisions that restrict creators’ access to its services. These are not contradictory positions, but the distinction must be clearly drawn.</w:t>
      </w:r>
    </w:p>
    <w:p>
      <w:pPr>
        <w:spacing w:after="160"/>
      </w:pPr>
      <w:r>
        <w:rPr>
          <w:rFonts w:ascii="Arial" w:cs="Arial" w:eastAsia="Arial" w:hAnsi="Arial"/>
          <w:b/>
          <w:bCs/>
          <w:sz w:val="20"/>
          <w:szCs w:val="20"/>
        </w:rPr>
        <w:t xml:space="preserve">Protocol-level guarantees: </w:t>
      </w:r>
      <w:r>
        <w:rPr>
          <w:rFonts w:ascii="Arial" w:cs="Arial" w:eastAsia="Arial" w:hAnsi="Arial"/>
          <w:sz w:val="20"/>
          <w:szCs w:val="20"/>
        </w:rPr>
        <w:t xml:space="preserve">Identity is a keypair. Content is stored on relays. Follower relationships are portable. Anyone can run an instance. These structural properties cannot be revoked by any platform operator.</w:t>
      </w:r>
    </w:p>
    <w:p>
      <w:pPr>
        <w:spacing w:after="160"/>
      </w:pPr>
      <w:r>
        <w:rPr>
          <w:rFonts w:ascii="Arial" w:cs="Arial" w:eastAsia="Arial" w:hAnsi="Arial"/>
          <w:b/>
          <w:bCs/>
          <w:sz w:val="20"/>
          <w:szCs w:val="20"/>
        </w:rPr>
        <w:t xml:space="preserve">Platform-level policies: </w:t>
      </w:r>
      <w:r>
        <w:rPr>
          <w:rFonts w:ascii="Arial" w:cs="Arial" w:eastAsia="Arial" w:hAnsi="Arial"/>
          <w:sz w:val="20"/>
          <w:szCs w:val="20"/>
        </w:rPr>
        <w:t xml:space="preserve">The hosted platform maintains community standards and enforces them. What makes this legitimate is the exit right: platform-level enforcement never destroys a creator’s ability to publish and earn. It only removes them from one platform’s ecosystem.</w:t>
      </w:r>
    </w:p>
    <w:p>
      <w:pPr>
        <w:pStyle w:val="Heading3"/>
        <w:spacing w:before="200" w:after="120"/>
      </w:pPr>
      <w:r>
        <w:rPr>
          <w:rFonts w:ascii="Arial" w:cs="Arial" w:eastAsia="Arial" w:hAnsi="Arial"/>
          <w:b/>
          <w:bCs/>
          <w:sz w:val="24"/>
          <w:szCs w:val="24"/>
        </w:rPr>
        <w:t xml:space="preserve">Minimum Viable Moderation at Launch</w:t>
      </w:r>
    </w:p>
    <w:p>
      <w:pPr>
        <w:spacing w:after="160"/>
      </w:pPr>
      <w:r>
        <w:rPr>
          <w:rFonts w:ascii="Arial" w:cs="Arial" w:eastAsia="Arial" w:hAnsi="Arial"/>
          <w:b w:val="false"/>
          <w:bCs w:val="false"/>
          <w:sz w:val="20"/>
          <w:szCs w:val="20"/>
        </w:rPr>
        <w:t xml:space="preserve">The following moderation capabilities are in scope for launch:</w:t>
      </w:r>
    </w:p>
    <w:p>
      <w:pPr>
        <w:pStyle w:val="ListParagraph"/>
        <w:numPr>
          <w:ilvl w:val="0"/>
          <w:numId w:val="2"/>
        </w:numPr>
        <w:spacing w:after="80"/>
      </w:pPr>
      <w:r>
        <w:rPr>
          <w:rFonts w:ascii="Arial" w:cs="Arial" w:eastAsia="Arial" w:hAnsi="Arial"/>
          <w:sz w:val="20"/>
          <w:szCs w:val="20"/>
        </w:rPr>
        <w:t xml:space="preserve">Report button on all content (articles and notes), feeding a human-reviewed queue. Small set of report categories: illegal content, harassment, spam, other. No automated action at launch — human review only.</w:t>
      </w:r>
    </w:p>
    <w:p>
      <w:pPr>
        <w:pStyle w:val="ListParagraph"/>
        <w:numPr>
          <w:ilvl w:val="0"/>
          <w:numId w:val="2"/>
        </w:numPr>
        <w:spacing w:after="80"/>
      </w:pPr>
      <w:r>
        <w:rPr>
          <w:rFonts w:ascii="Arial" w:cs="Arial" w:eastAsia="Arial" w:hAnsi="Arial"/>
          <w:sz w:val="20"/>
          <w:szCs w:val="20"/>
        </w:rPr>
        <w:t xml:space="preserve">Block and mute as user-controlled features. Block is mutual and hard. Mute is personal and soft. Both are table stakes for any social platform.</w:t>
      </w:r>
    </w:p>
    <w:p>
      <w:pPr>
        <w:pStyle w:val="ListParagraph"/>
        <w:numPr>
          <w:ilvl w:val="0"/>
          <w:numId w:val="2"/>
        </w:numPr>
        <w:spacing w:after="80"/>
      </w:pPr>
      <w:r>
        <w:rPr>
          <w:rFonts w:ascii="Arial" w:cs="Arial" w:eastAsia="Arial" w:hAnsi="Arial"/>
          <w:sz w:val="20"/>
          <w:szCs w:val="20"/>
        </w:rPr>
        <w:t xml:space="preserve">Platform ability to remove content from relay and suspend accounts. Manual operation by the founder is acceptable at launch; no dedicated moderation UI required for the cohort period.</w:t>
      </w:r>
    </w:p>
    <w:p>
      <w:pPr>
        <w:pStyle w:val="ListParagraph"/>
        <w:numPr>
          <w:ilvl w:val="0"/>
          <w:numId w:val="2"/>
        </w:numPr>
        <w:spacing w:after="80"/>
      </w:pPr>
      <w:r>
        <w:rPr>
          <w:rFonts w:ascii="Arial" w:cs="Arial" w:eastAsia="Arial" w:hAnsi="Arial"/>
          <w:sz w:val="20"/>
          <w:szCs w:val="20"/>
        </w:rPr>
        <w:t xml:space="preserve">Moderated writer treatment: content removed from platform surface, Nostr identity intact, settled earnings paid out on normal schedule, accrued-but-unsettled earnings held pending review.</w:t>
      </w:r>
    </w:p>
    <w:p>
      <w:pPr>
        <w:pStyle w:val="ListParagraph"/>
        <w:numPr>
          <w:ilvl w:val="0"/>
          <w:numId w:val="2"/>
        </w:numPr>
        <w:spacing w:after="80"/>
      </w:pPr>
      <w:r>
        <w:rPr>
          <w:rFonts w:ascii="Arial" w:cs="Arial" w:eastAsia="Arial" w:hAnsi="Arial"/>
          <w:sz w:val="20"/>
          <w:szCs w:val="20"/>
        </w:rPr>
        <w:t xml:space="preserve">Content policy document as a pre-launch deliverable. Moderation cannot proceed without written standards.</w:t>
      </w:r>
    </w:p>
    <w:p>
      <w:pPr>
        <w:spacing w:after="160"/>
      </w:pPr>
      <w:r>
        <w:rPr>
          <w:rFonts w:ascii="Arial" w:cs="Arial" w:eastAsia="Arial" w:hAnsi="Arial"/>
          <w:b w:val="false"/>
          <w:bCs w:val="false"/>
          <w:sz w:val="20"/>
          <w:szCs w:val="20"/>
        </w:rPr>
        <w:t xml:space="preserve">All other moderation infrastructure — automated content moderation, keyword filtering, appeal workflows, inter-instance moderation coordination, payment-layer moderation policy — is post-launch.</w:t>
      </w:r>
    </w:p>
    <w:p>
      <w:pPr>
        <w:pStyle w:val="Heading3"/>
        <w:spacing w:before="200" w:after="120"/>
      </w:pPr>
      <w:r>
        <w:rPr>
          <w:rFonts w:ascii="Arial" w:cs="Arial" w:eastAsia="Arial" w:hAnsi="Arial"/>
          <w:b/>
          <w:bCs/>
          <w:sz w:val="24"/>
          <w:szCs w:val="24"/>
        </w:rPr>
        <w:t xml:space="preserve">Moderation Across Instance Boundaries</w:t>
      </w:r>
    </w:p>
    <w:p>
      <w:pPr>
        <w:spacing w:after="160"/>
      </w:pPr>
      <w:r>
        <w:rPr>
          <w:rFonts w:ascii="Arial" w:cs="Arial" w:eastAsia="Arial" w:hAnsi="Arial"/>
          <w:b w:val="false"/>
          <w:bCs w:val="false"/>
          <w:sz w:val="20"/>
          <w:szCs w:val="20"/>
        </w:rPr>
        <w:t xml:space="preserve">Moderation on the hosted platform governs what the hosted platform hosts and promotes. It does not extend to controlling what readers spend money on or what creators on other instances publish. Readers retain a sovereign right to read what they choose. The hosted platform may decline to surface moderated content in its feed, but tab accrual and settlement proceed normally if a reader actively seeks out that content.</w:t>
      </w:r>
    </w:p>
    <w:p>
      <w:pPr>
        <w:spacing w:after="160"/>
      </w:pPr>
      <w:r>
        <w:rPr>
          <w:rFonts w:ascii="Arial" w:cs="Arial" w:eastAsia="Arial" w:hAnsi="Arial"/>
          <w:b w:val="false"/>
          <w:bCs w:val="false"/>
          <w:sz w:val="20"/>
          <w:szCs w:val="20"/>
        </w:rPr>
        <w:t xml:space="preserve">The hosted platform does not deny payment infrastructure to creators hosted on other instances. Using payment verification as a moderation tool against external creators would make the hosted platform a gatekeeper of exactly the kind the project opposes.</w:t>
      </w:r>
    </w:p>
    <w:p>
      <w:pPr>
        <w:pBdr>
          <w:bottom w:val="single" w:color="2E75B6" w:sz="6" w:space="1"/>
        </w:pBdr>
        <w:spacing w:before="200" w:after="200"/>
      </w:pPr>
    </w:p>
    <w:p>
      <w:r>
        <w:br w:type="page"/>
      </w:r>
    </w:p>
    <w:p>
      <w:pPr>
        <w:spacing w:before="240" w:after="360"/>
      </w:pPr>
      <w:r>
        <w:rPr>
          <w:rFonts w:ascii="Arial" w:cs="Arial" w:eastAsia="Arial" w:hAnsi="Arial"/>
          <w:b/>
          <w:bCs/>
          <w:color w:val="1F3864"/>
          <w:sz w:val="40"/>
          <w:szCs w:val="40"/>
        </w:rPr>
        <w:t xml:space="preserve">Part II: Architecture</w:t>
      </w:r>
    </w:p>
    <w:p>
      <w:pPr>
        <w:pBdr>
          <w:bottom w:val="single" w:color="2E75B6" w:sz="6" w:space="1"/>
        </w:pBdr>
        <w:spacing w:before="200" w:after="200"/>
      </w:pPr>
    </w:p>
    <w:p>
      <w:pPr>
        <w:pStyle w:val="Heading1"/>
        <w:spacing w:before="360" w:after="200"/>
      </w:pPr>
      <w:r>
        <w:rPr>
          <w:rFonts w:ascii="Arial" w:cs="Arial" w:eastAsia="Arial" w:hAnsi="Arial"/>
          <w:b/>
          <w:bCs/>
          <w:sz w:val="32"/>
          <w:szCs w:val="32"/>
        </w:rPr>
        <w:t xml:space="preserve">II.1. Foundation Protocol: Nostr</w:t>
      </w:r>
    </w:p>
    <w:p>
      <w:pPr>
        <w:pStyle w:val="Heading3"/>
        <w:spacing w:before="200" w:after="120"/>
      </w:pPr>
      <w:r>
        <w:rPr>
          <w:rFonts w:ascii="Arial" w:cs="Arial" w:eastAsia="Arial" w:hAnsi="Arial"/>
          <w:b/>
          <w:bCs/>
          <w:sz w:val="24"/>
          <w:szCs w:val="24"/>
        </w:rPr>
        <w:t xml:space="preserve">Decision</w:t>
      </w:r>
    </w:p>
    <w:p>
      <w:pPr>
        <w:spacing w:after="160"/>
      </w:pPr>
      <w:r>
        <w:rPr>
          <w:rFonts w:ascii="Arial" w:cs="Arial" w:eastAsia="Arial" w:hAnsi="Arial"/>
          <w:b w:val="false"/>
          <w:bCs w:val="false"/>
          <w:sz w:val="20"/>
          <w:szCs w:val="20"/>
        </w:rPr>
        <w:t xml:space="preserve">Build on the Nostr protocol as the content and identity layer.</w:t>
      </w:r>
    </w:p>
    <w:p>
      <w:pPr>
        <w:pStyle w:val="Heading3"/>
        <w:spacing w:before="200" w:after="120"/>
      </w:pPr>
      <w:r>
        <w:rPr>
          <w:rFonts w:ascii="Arial" w:cs="Arial" w:eastAsia="Arial" w:hAnsi="Arial"/>
          <w:b/>
          <w:bCs/>
          <w:sz w:val="24"/>
          <w:szCs w:val="24"/>
        </w:rPr>
        <w:t xml:space="preserve">Rationale</w:t>
      </w:r>
    </w:p>
    <w:p>
      <w:pPr>
        <w:pStyle w:val="ListParagraph"/>
        <w:numPr>
          <w:ilvl w:val="0"/>
          <w:numId w:val="2"/>
        </w:numPr>
        <w:spacing w:after="80"/>
      </w:pPr>
      <w:r>
        <w:rPr>
          <w:rFonts w:ascii="Arial" w:cs="Arial" w:eastAsia="Arial" w:hAnsi="Arial"/>
          <w:sz w:val="20"/>
          <w:szCs w:val="20"/>
        </w:rPr>
        <w:t xml:space="preserve">Identity is a keypair. No server owns a user’s identity. Writers and readers carry their identity across any instance or client.</w:t>
      </w:r>
    </w:p>
    <w:p>
      <w:pPr>
        <w:pStyle w:val="ListParagraph"/>
        <w:numPr>
          <w:ilvl w:val="0"/>
          <w:numId w:val="2"/>
        </w:numPr>
        <w:spacing w:after="80"/>
      </w:pPr>
      <w:r>
        <w:rPr>
          <w:rFonts w:ascii="Arial" w:cs="Arial" w:eastAsia="Arial" w:hAnsi="Arial"/>
          <w:sz w:val="20"/>
          <w:szCs w:val="20"/>
        </w:rPr>
        <w:t xml:space="preserve">The relay model maps to the two-tier architecture. The hosted platform operates relays with guaranteed persistence and uptime. Self-hosted instances run their own relays. The protocol treats them identically.</w:t>
      </w:r>
    </w:p>
    <w:p>
      <w:pPr>
        <w:pStyle w:val="ListParagraph"/>
        <w:numPr>
          <w:ilvl w:val="0"/>
          <w:numId w:val="2"/>
        </w:numPr>
        <w:spacing w:after="80"/>
      </w:pPr>
      <w:r>
        <w:rPr>
          <w:rFonts w:ascii="Arial" w:cs="Arial" w:eastAsia="Arial" w:hAnsi="Arial"/>
          <w:sz w:val="20"/>
          <w:szCs w:val="20"/>
        </w:rPr>
        <w:t xml:space="preserve">Payment integration is native to the ecosystem. Lightning zaps (NIP-57), Nostr Wallet Connect (NIP-47), and Cashu ecash wallets (NIP-60/NIP-61) are already part of the protocol.</w:t>
      </w:r>
    </w:p>
    <w:p>
      <w:pPr>
        <w:pStyle w:val="ListParagraph"/>
        <w:numPr>
          <w:ilvl w:val="0"/>
          <w:numId w:val="2"/>
        </w:numPr>
        <w:spacing w:after="80"/>
      </w:pPr>
      <w:r>
        <w:rPr>
          <w:rFonts w:ascii="Arial" w:cs="Arial" w:eastAsia="Arial" w:hAnsi="Arial"/>
          <w:sz w:val="20"/>
          <w:szCs w:val="20"/>
        </w:rPr>
        <w:t xml:space="preserve">Extensibility via NIPs. Long-form content (NIP-23), encrypted payloads (NIP-44), relay-based groups (NIP-29), and labelling/moderation (NIP-32/NIP-56) provide building blocks.</w:t>
      </w:r>
    </w:p>
    <w:p>
      <w:pPr>
        <w:pStyle w:val="ListParagraph"/>
        <w:numPr>
          <w:ilvl w:val="0"/>
          <w:numId w:val="2"/>
        </w:numPr>
        <w:spacing w:after="80"/>
      </w:pPr>
      <w:r>
        <w:rPr>
          <w:rFonts w:ascii="Arial" w:cs="Arial" w:eastAsia="Arial" w:hAnsi="Arial"/>
          <w:sz w:val="20"/>
          <w:szCs w:val="20"/>
        </w:rPr>
        <w:t xml:space="preserve">Non-hierarchical governance. NIPs are public domain. No single entity controls the standard.</w:t>
      </w:r>
    </w:p>
    <w:p>
      <w:pPr>
        <w:pStyle w:val="Heading1"/>
        <w:spacing w:before="360" w:after="200"/>
      </w:pPr>
      <w:r>
        <w:rPr>
          <w:rFonts w:ascii="Arial" w:cs="Arial" w:eastAsia="Arial" w:hAnsi="Arial"/>
          <w:b/>
          <w:bCs/>
          <w:sz w:val="32"/>
          <w:szCs w:val="32"/>
        </w:rPr>
        <w:t xml:space="preserve">II.2. Content Model</w:t>
      </w:r>
    </w:p>
    <w:p>
      <w:pPr>
        <w:pStyle w:val="Heading3"/>
        <w:spacing w:before="200" w:after="120"/>
      </w:pPr>
      <w:r>
        <w:rPr>
          <w:rFonts w:ascii="Arial" w:cs="Arial" w:eastAsia="Arial" w:hAnsi="Arial"/>
          <w:b/>
          <w:bCs/>
          <w:sz w:val="24"/>
          <w:szCs w:val="24"/>
        </w:rPr>
        <w:t xml:space="preserve">Two Content Types</w:t>
      </w:r>
    </w:p>
    <w:p>
      <w:pPr>
        <w:spacing w:after="160"/>
      </w:pPr>
      <w:r>
        <w:rPr>
          <w:rFonts w:ascii="Arial" w:cs="Arial" w:eastAsia="Arial" w:hAnsi="Arial"/>
          <w:b/>
          <w:bCs/>
          <w:sz w:val="20"/>
          <w:szCs w:val="20"/>
        </w:rPr>
        <w:t xml:space="preserve">Notes (kind 1): </w:t>
      </w:r>
      <w:r>
        <w:rPr>
          <w:rFonts w:ascii="Arial" w:cs="Arial" w:eastAsia="Arial" w:hAnsi="Arial"/>
          <w:sz w:val="20"/>
          <w:szCs w:val="20"/>
        </w:rPr>
        <w:t xml:space="preserve">Short-form, free, social. High-frequency, low-friction. Not monetised. Analogous to Substack Notes or Twitter/X posts. 1,000-character platform limit.</w:t>
      </w:r>
    </w:p>
    <w:p>
      <w:pPr>
        <w:spacing w:after="160"/>
      </w:pPr>
      <w:r>
        <w:rPr>
          <w:rFonts w:ascii="Arial" w:cs="Arial" w:eastAsia="Arial" w:hAnsi="Arial"/>
          <w:b/>
          <w:bCs/>
          <w:sz w:val="20"/>
          <w:szCs w:val="20"/>
        </w:rPr>
        <w:t xml:space="preserve">Articles (NIP-23, kind 30023): </w:t>
      </w:r>
      <w:r>
        <w:rPr>
          <w:rFonts w:ascii="Arial" w:cs="Arial" w:eastAsia="Arial" w:hAnsi="Arial"/>
          <w:sz w:val="20"/>
          <w:szCs w:val="20"/>
        </w:rPr>
        <w:t xml:space="preserve">Long-form, monetisable. The low-frequency, high-value layer: the work that earns money and justifies the reading tab charge.</w:t>
      </w:r>
    </w:p>
    <w:p>
      <w:pPr>
        <w:pStyle w:val="Heading3"/>
        <w:spacing w:before="200" w:after="120"/>
      </w:pPr>
      <w:r>
        <w:rPr>
          <w:rFonts w:ascii="Arial" w:cs="Arial" w:eastAsia="Arial" w:hAnsi="Arial"/>
          <w:b/>
          <w:bCs/>
          <w:sz w:val="24"/>
          <w:szCs w:val="24"/>
        </w:rPr>
        <w:t xml:space="preserve">Pricing Model</w:t>
      </w:r>
    </w:p>
    <w:p>
      <w:pPr>
        <w:spacing w:after="160"/>
      </w:pPr>
      <w:r>
        <w:rPr>
          <w:rFonts w:ascii="Arial" w:cs="Arial" w:eastAsia="Arial" w:hAnsi="Arial"/>
          <w:b w:val="false"/>
          <w:bCs w:val="false"/>
          <w:sz w:val="20"/>
          <w:szCs w:val="20"/>
        </w:rPr>
        <w:t xml:space="preserve">Article price is suggested automatically based on length. These are defaults — the writer overrides them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6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Suggested 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 ~700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~700–1,500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~1,500–3,000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~3,000–5,000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~5,000–7,000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~7,000–9,000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~9,000–11,000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~11,000–13,000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~13,000–15,000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Above ~15,000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(soft cap £3.00)</w:t>
            </w:r>
          </w:p>
        </w:tc>
      </w:tr>
    </w:tbl>
    <w:p>
      <w:pPr>
        <w:spacing w:after="160"/>
      </w:pPr>
      <w:r>
        <w:rPr>
          <w:rFonts w:ascii="Arial" w:cs="Arial" w:eastAsia="Arial" w:hAnsi="Arial"/>
          <w:b w:val="false"/>
          <w:bCs w:val="false"/>
          <w:sz w:val="20"/>
          <w:szCs w:val="20"/>
        </w:rPr>
        <w:t xml:space="preserve"/>
      </w:r>
    </w:p>
    <w:p>
      <w:pPr>
        <w:pStyle w:val="Heading3"/>
        <w:spacing w:before="200" w:after="120"/>
      </w:pPr>
      <w:r>
        <w:rPr>
          <w:rFonts w:ascii="Arial" w:cs="Arial" w:eastAsia="Arial" w:hAnsi="Arial"/>
          <w:b/>
          <w:bCs/>
          <w:sz w:val="24"/>
          <w:szCs w:val="24"/>
        </w:rPr>
        <w:t xml:space="preserve">Mid-Article Paywall Gate</w:t>
      </w:r>
    </w:p>
    <w:p>
      <w:pPr>
        <w:spacing w:after="160"/>
      </w:pPr>
      <w:r>
        <w:rPr>
          <w:rFonts w:ascii="Arial" w:cs="Arial" w:eastAsia="Arial" w:hAnsi="Arial"/>
          <w:b w:val="false"/>
          <w:bCs w:val="false"/>
          <w:sz w:val="20"/>
          <w:szCs w:val="20"/>
        </w:rPr>
        <w:t xml:space="preserve">Paywalled articles support a single mid-article paywall gate, represented in the editor as a visible, draggable horizontal marker. The gate sits at approximately 50% of the article by default; the writer can drag it to any paragraph boundary. The gate is also a compositional tool: a skilled writer can end the free section at a moment of narrative tension or a cliff-hanger to maximise conversion.</w:t>
      </w:r>
    </w:p>
    <w:p>
      <w:pPr>
        <w:pStyle w:val="Heading3"/>
        <w:spacing w:before="200" w:after="120"/>
      </w:pPr>
      <w:r>
        <w:rPr>
          <w:rFonts w:ascii="Arial" w:cs="Arial" w:eastAsia="Arial" w:hAnsi="Arial"/>
          <w:b/>
          <w:bCs/>
          <w:sz w:val="24"/>
          <w:szCs w:val="24"/>
        </w:rPr>
        <w:t xml:space="preserve">Quote-Comments</w:t>
      </w:r>
    </w:p>
    <w:p>
      <w:pPr>
        <w:spacing w:after="160"/>
      </w:pPr>
      <w:r>
        <w:rPr>
          <w:rFonts w:ascii="Arial" w:cs="Arial" w:eastAsia="Arial" w:hAnsi="Arial"/>
          <w:b w:val="false"/>
          <w:bCs w:val="false"/>
          <w:sz w:val="20"/>
          <w:szCs w:val="20"/>
        </w:rPr>
        <w:t xml:space="preserve">Quote-comments are kind 1 events with a q tag and a mandatory inline bech32 reference:</w:t>
      </w:r>
    </w:p>
    <w:p>
      <w:pPr>
        <w:spacing w:after="80"/>
        <w:ind w:left="720"/>
      </w:pPr>
      <w:r>
        <w:rPr>
          <w:rFonts w:ascii="Courier New" w:cs="Courier New" w:eastAsia="Courier New" w:hAnsi="Courier New"/>
          <w:sz w:val="18"/>
          <w:szCs w:val="18"/>
        </w:rPr>
        <w:t xml:space="preserve">{ "kind": 1,</w:t>
      </w:r>
    </w:p>
    <w:p>
      <w:pPr>
        <w:spacing w:after="80"/>
        <w:ind w:left="720"/>
      </w:pPr>
      <w:r>
        <w:rPr>
          <w:rFonts w:ascii="Courier New" w:cs="Courier New" w:eastAsia="Courier New" w:hAnsi="Courier New"/>
          <w:sz w:val="18"/>
          <w:szCs w:val="18"/>
        </w:rPr>
        <w:t xml:space="preserve">  "tags": [</w:t>
      </w:r>
    </w:p>
    <w:p>
      <w:pPr>
        <w:spacing w:after="80"/>
        <w:ind w:left="720"/>
      </w:pPr>
      <w:r>
        <w:rPr>
          <w:rFonts w:ascii="Courier New" w:cs="Courier New" w:eastAsia="Courier New" w:hAnsi="Courier New"/>
          <w:sz w:val="18"/>
          <w:szCs w:val="18"/>
        </w:rPr>
        <w:t xml:space="preserve">    ["q", "&lt;quoted event ID&gt;", "&lt;relay hint&gt;", "&lt;quoted event kind&gt;"],</w:t>
      </w:r>
    </w:p>
    <w:p>
      <w:pPr>
        <w:spacing w:after="80"/>
        <w:ind w:left="720"/>
      </w:pPr>
      <w:r>
        <w:rPr>
          <w:rFonts w:ascii="Courier New" w:cs="Courier New" w:eastAsia="Courier New" w:hAnsi="Courier New"/>
          <w:sz w:val="18"/>
          <w:szCs w:val="18"/>
        </w:rPr>
        <w:t xml:space="preserve">    ["p", "&lt;author pubkey of quoted content&gt;"]</w:t>
      </w:r>
    </w:p>
    <w:p>
      <w:pPr>
        <w:spacing w:after="80"/>
        <w:ind w:left="720"/>
      </w:pPr>
      <w:r>
        <w:rPr>
          <w:rFonts w:ascii="Courier New" w:cs="Courier New" w:eastAsia="Courier New" w:hAnsi="Courier New"/>
          <w:sz w:val="18"/>
          <w:szCs w:val="18"/>
        </w:rPr>
        <w:t xml:space="preserve">  ],</w:t>
      </w:r>
    </w:p>
    <w:p>
      <w:pPr>
        <w:spacing w:after="80"/>
        <w:ind w:left="720"/>
      </w:pPr>
      <w:r>
        <w:rPr>
          <w:rFonts w:ascii="Courier New" w:cs="Courier New" w:eastAsia="Courier New" w:hAnsi="Courier New"/>
          <w:sz w:val="18"/>
          <w:szCs w:val="18"/>
        </w:rPr>
        <w:t xml:space="preserve">  "content": "&lt;commentary text&gt;\n\nnostr:nevent1..."</w:t>
      </w:r>
    </w:p>
    <w:p>
      <w:pPr>
        <w:spacing w:after="80"/>
        <w:ind w:left="720"/>
      </w:pPr>
      <w:r>
        <w:rPr>
          <w:rFonts w:ascii="Courier New" w:cs="Courier New" w:eastAsia="Courier New" w:hAnsi="Courier New"/>
          <w:sz w:val="18"/>
          <w:szCs w:val="18"/>
        </w:rPr>
        <w:t xml:space="preserve">}</w:t>
      </w:r>
    </w:p>
    <w:p>
      <w:pPr>
        <w:spacing w:after="160"/>
      </w:pPr>
      <w:r>
        <w:rPr>
          <w:rFonts w:ascii="Arial" w:cs="Arial" w:eastAsia="Arial" w:hAnsi="Arial"/>
          <w:b w:val="false"/>
          <w:bCs w:val="false"/>
          <w:sz w:val="20"/>
          <w:szCs w:val="20"/>
        </w:rPr>
        <w:t xml:space="preserve">The q tag’s third element (quoted event kind) is the platform’s extension beyond current informal Nostr practice. It allows clients to know the content type without fetching the quoted event. The inline bech32 reference ensures graceful degradation in standard clients. Article embeds show title, summary, author, and a “read article” link — not the article body. The platform client caps visual nesting at one level deep.</w:t>
      </w:r>
    </w:p>
    <w:p>
      <w:pPr>
        <w:pStyle w:val="Heading1"/>
        <w:spacing w:before="360" w:after="200"/>
      </w:pPr>
      <w:r>
        <w:rPr>
          <w:rFonts w:ascii="Arial" w:cs="Arial" w:eastAsia="Arial" w:hAnsi="Arial"/>
          <w:b/>
          <w:bCs/>
          <w:sz w:val="32"/>
          <w:szCs w:val="32"/>
        </w:rPr>
        <w:t xml:space="preserve">II.3. Payment Architecture</w:t>
      </w:r>
    </w:p>
    <w:p>
      <w:pPr>
        <w:pStyle w:val="Heading3"/>
        <w:spacing w:before="200" w:after="120"/>
      </w:pPr>
      <w:r>
        <w:rPr>
          <w:rFonts w:ascii="Arial" w:cs="Arial" w:eastAsia="Arial" w:hAnsi="Arial"/>
          <w:b/>
          <w:bCs/>
          <w:sz w:val="24"/>
          <w:szCs w:val="24"/>
        </w:rPr>
        <w:t xml:space="preserve">Design Philosophy</w:t>
      </w:r>
    </w:p>
    <w:p>
      <w:pPr>
        <w:spacing w:after="160"/>
      </w:pPr>
      <w:r>
        <w:rPr>
          <w:rFonts w:ascii="Arial" w:cs="Arial" w:eastAsia="Arial" w:hAnsi="Arial"/>
          <w:b w:val="false"/>
          <w:bCs w:val="false"/>
          <w:sz w:val="20"/>
          <w:szCs w:val="20"/>
        </w:rPr>
        <w:t xml:space="preserve">The platform’s payment model is built around a single principle: defer friction until the user has demonstrated they want to be here. Readers accumulate a tab silently; payment is requested only when the tab reaches a threshold the reader has already crossed through genuine engagement. Writers accrue earnings visibly before their first payout, motivating Stripe Connect completion without coercion.</w:t>
      </w:r>
    </w:p>
    <w:p>
      <w:pPr>
        <w:pStyle w:val="Heading3"/>
        <w:spacing w:before="200" w:after="120"/>
      </w:pPr>
      <w:r>
        <w:rPr>
          <w:rFonts w:ascii="Arial" w:cs="Arial" w:eastAsia="Arial" w:hAnsi="Arial"/>
          <w:b/>
          <w:bCs/>
          <w:sz w:val="24"/>
          <w:szCs w:val="24"/>
        </w:rPr>
        <w:t xml:space="preserve">Three-Stage Money Flow</w:t>
      </w:r>
    </w:p>
    <w:p>
      <w:pPr>
        <w:spacing w:after="160"/>
      </w:pPr>
      <w:r>
        <w:rPr>
          <w:rFonts w:ascii="Arial" w:cs="Arial" w:eastAsia="Arial" w:hAnsi="Arial"/>
          <w:b w:val="false"/>
          <w:bCs w:val="false"/>
          <w:sz w:val="20"/>
          <w:szCs w:val="20"/>
        </w:rPr>
        <w:t xml:space="preserve">Money moves through three distinct stages, each with its own trigger and accounting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1: Accrual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Reader passes a gate. Read event recorded in payment service database. Receipt event emitted (kind 9901). No money moves. Writers cannot see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2: Tab settlement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Reader’s tab crosses the £8.00 threshold (or monthly fallback triggers). Stripe charges the reader’s card. Money moves from reader to platform. Platform holds funds. Writers’ dashboards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3: Writer payout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Writer’s accumulated platform-settled balance crosses £20.00. Stripe Connect transfer initiates automatically within 24 hours. Money reaches writer’s bank within 3–5 business days.</w:t>
            </w:r>
          </w:p>
        </w:tc>
      </w:tr>
    </w:tbl>
    <w:p>
      <w:pPr>
        <w:spacing w:after="160"/>
      </w:pPr>
      <w:r>
        <w:rPr>
          <w:rFonts w:ascii="Arial" w:cs="Arial" w:eastAsia="Arial" w:hAnsi="Arial"/>
          <w:b w:val="false"/>
          <w:bCs w:val="false"/>
          <w:sz w:val="20"/>
          <w:szCs w:val="20"/>
        </w:rPr>
        <w:t xml:space="preserve"/>
      </w:r>
    </w:p>
    <w:p>
      <w:pPr>
        <w:pStyle w:val="Heading3"/>
        <w:spacing w:before="200" w:after="120"/>
      </w:pPr>
      <w:r>
        <w:rPr>
          <w:rFonts w:ascii="Arial" w:cs="Arial" w:eastAsia="Arial" w:hAnsi="Arial"/>
          <w:b/>
          <w:bCs/>
          <w:sz w:val="24"/>
          <w:szCs w:val="24"/>
        </w:rPr>
        <w:t xml:space="preserve">Four Read States</w:t>
      </w:r>
    </w:p>
    <w:p>
      <w:pPr>
        <w:spacing w:after="160"/>
      </w:pPr>
      <w:r>
        <w:rPr>
          <w:rFonts w:ascii="Arial" w:cs="Arial" w:eastAsia="Arial" w:hAnsi="Arial"/>
          <w:b w:val="false"/>
          <w:bCs w:val="false"/>
          <w:sz w:val="20"/>
          <w:szCs w:val="20"/>
        </w:rPr>
        <w:t xml:space="preserve">Every read event is tracked in one of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Provisional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free allowance; reader has not connected a card. No payment guarantee. Written off if reader never converts.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Accrued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Reader has a card connected; tab is running; not yet settled. Will convert to platform-settled at next tab settlement.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Platform-settled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Reader’s tab has been charged; platform holds the funds. Writer has a real, guaranteed claim on this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Writer-paid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Funds transferred to writer’s bank via Stripe Connect. Transaction complete.</w:t>
            </w:r>
          </w:p>
        </w:tc>
      </w:tr>
    </w:tbl>
    <w:p>
      <w:pPr>
        <w:spacing w:after="160"/>
      </w:pPr>
      <w:r>
        <w:rPr>
          <w:rFonts w:ascii="Arial" w:cs="Arial" w:eastAsia="Arial" w:hAnsi="Arial"/>
          <w:b w:val="false"/>
          <w:bCs w:val="false"/>
          <w:sz w:val="20"/>
          <w:szCs w:val="20"/>
        </w:rPr>
        <w:t xml:space="preserve"/>
      </w:r>
    </w:p>
    <w:p>
      <w:pPr>
        <w:spacing w:after="160"/>
      </w:pPr>
      <w:r>
        <w:rPr>
          <w:rFonts w:ascii="Arial" w:cs="Arial" w:eastAsia="Arial" w:hAnsi="Arial"/>
          <w:b w:val="false"/>
          <w:bCs w:val="false"/>
          <w:sz w:val="20"/>
          <w:szCs w:val="20"/>
        </w:rPr>
        <w:t xml:space="preserve">Writers’ dashboards show the sum of platform-settled and writer-paid reads as “earnings.” Provisional and accrued reads are invisible to writers. The dashboard displays earnings, paid out, and pending transfer as three distinct figures.</w:t>
      </w:r>
    </w:p>
    <w:p>
      <w:pPr>
        <w:pStyle w:val="Heading3"/>
        <w:spacing w:before="200" w:after="120"/>
      </w:pPr>
      <w:r>
        <w:rPr>
          <w:rFonts w:ascii="Arial" w:cs="Arial" w:eastAsia="Arial" w:hAnsi="Arial"/>
          <w:b/>
          <w:bCs/>
          <w:sz w:val="24"/>
          <w:szCs w:val="24"/>
        </w:rPr>
        <w:t xml:space="preserve">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Amount (provisional)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allowance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 Provisional accrual on account creation; underwritten by platform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Reader tab settlement threshold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 — Triggers automatic Stripe charge to reader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fallback minimum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Minimum balance for time-based settlement trigger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Writer payout threshold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 — Triggers Stripe Connect transfer to writer’s bank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cut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of settled reader payments, inclusive of Stripe fees</w:t>
            </w:r>
          </w:p>
        </w:tc>
      </w:tr>
    </w:tbl>
    <w:p>
      <w:pPr>
        <w:spacing w:after="160"/>
      </w:pPr>
      <w:r>
        <w:rPr>
          <w:rFonts w:ascii="Arial" w:cs="Arial" w:eastAsia="Arial" w:hAnsi="Arial"/>
          <w:b w:val="false"/>
          <w:bCs w:val="false"/>
          <w:sz w:val="20"/>
          <w:szCs w:val="20"/>
        </w:rPr>
        <w:t xml:space="preserve">All thresholds are configuration values, not fixed design decisions. Flag for review post-launch once real transaction cost and conversion data is available.</w:t>
      </w:r>
    </w:p>
    <w:p>
      <w:pPr>
        <w:pStyle w:val="Heading3"/>
        <w:spacing w:before="200" w:after="120"/>
      </w:pPr>
      <w:r>
        <w:rPr>
          <w:rFonts w:ascii="Arial" w:cs="Arial" w:eastAsia="Arial" w:hAnsi="Arial"/>
          <w:b/>
          <w:bCs/>
          <w:sz w:val="24"/>
          <w:szCs w:val="24"/>
        </w:rPr>
        <w:t xml:space="preserve">The £5 Free Allowance: Accounting Treatment</w:t>
      </w:r>
    </w:p>
    <w:p>
      <w:pPr>
        <w:spacing w:after="160"/>
      </w:pPr>
      <w:r>
        <w:rPr>
          <w:rFonts w:ascii="Arial" w:cs="Arial" w:eastAsia="Arial" w:hAnsi="Arial"/>
          <w:b w:val="false"/>
          <w:bCs w:val="false"/>
          <w:sz w:val="20"/>
          <w:szCs w:val="20"/>
        </w:rPr>
        <w:t xml:space="preserve">On account creation, each reader receives a £5 reading allowance. This creates provisional accrual entries against the relevant writers. These provisional entries:</w:t>
      </w:r>
    </w:p>
    <w:p>
      <w:pPr>
        <w:pStyle w:val="ListParagraph"/>
        <w:numPr>
          <w:ilvl w:val="0"/>
          <w:numId w:val="2"/>
        </w:numPr>
        <w:spacing w:after="80"/>
      </w:pPr>
      <w:r>
        <w:rPr>
          <w:rFonts w:ascii="Arial" w:cs="Arial" w:eastAsia="Arial" w:hAnsi="Arial"/>
          <w:sz w:val="20"/>
          <w:szCs w:val="20"/>
        </w:rPr>
        <w:t xml:space="preserve">Are not visible on writers’ dashboards</w:t>
      </w:r>
    </w:p>
    <w:p>
      <w:pPr>
        <w:pStyle w:val="ListParagraph"/>
        <w:numPr>
          <w:ilvl w:val="0"/>
          <w:numId w:val="2"/>
        </w:numPr>
        <w:spacing w:after="80"/>
      </w:pPr>
      <w:r>
        <w:rPr>
          <w:rFonts w:ascii="Arial" w:cs="Arial" w:eastAsia="Arial" w:hAnsi="Arial"/>
          <w:sz w:val="20"/>
          <w:szCs w:val="20"/>
        </w:rPr>
        <w:t xml:space="preserve">Become real platform-settled amounts when the reader connects a card and their first tab settles</w:t>
      </w:r>
    </w:p>
    <w:p>
      <w:pPr>
        <w:pStyle w:val="ListParagraph"/>
        <w:numPr>
          <w:ilvl w:val="0"/>
          <w:numId w:val="2"/>
        </w:numPr>
        <w:spacing w:after="80"/>
      </w:pPr>
      <w:r>
        <w:rPr>
          <w:rFonts w:ascii="Arial" w:cs="Arial" w:eastAsia="Arial" w:hAnsi="Arial"/>
          <w:sz w:val="20"/>
          <w:szCs w:val="20"/>
        </w:rPr>
        <w:t xml:space="preserve">Are written off entirely if the reader never connects a card</w:t>
      </w:r>
    </w:p>
    <w:p>
      <w:pPr>
        <w:pStyle w:val="ListParagraph"/>
        <w:numPr>
          <w:ilvl w:val="0"/>
          <w:numId w:val="2"/>
        </w:numPr>
        <w:spacing w:after="80"/>
      </w:pPr>
      <w:r>
        <w:rPr>
          <w:rFonts w:ascii="Arial" w:cs="Arial" w:eastAsia="Arial" w:hAnsi="Arial"/>
          <w:sz w:val="20"/>
          <w:szCs w:val="20"/>
        </w:rPr>
        <w:t xml:space="preserve">Are written off for the free-allowance portion if the reader connects a card but the initial settlement only partially covers prior reads (the platform absorbs the gap)</w:t>
      </w:r>
    </w:p>
    <w:p>
      <w:pPr>
        <w:spacing w:after="160"/>
      </w:pPr>
      <w:r>
        <w:rPr>
          <w:rFonts w:ascii="Arial" w:cs="Arial" w:eastAsia="Arial" w:hAnsi="Arial"/>
          <w:b w:val="false"/>
          <w:bCs w:val="false"/>
          <w:sz w:val="20"/>
          <w:szCs w:val="20"/>
        </w:rPr>
        <w:t xml:space="preserve">No mechanism to prevent multi-account creation at launch. The profile of a determined free-rider is narrow enough that the risk does not justify friction on legitimate onboarding. To be revisited if abuse materialises at scale.</w:t>
      </w:r>
    </w:p>
    <w:p>
      <w:pPr>
        <w:pStyle w:val="Heading3"/>
        <w:spacing w:before="200" w:after="120"/>
      </w:pPr>
      <w:r>
        <w:rPr>
          <w:rFonts w:ascii="Arial" w:cs="Arial" w:eastAsia="Arial" w:hAnsi="Arial"/>
          <w:b/>
          <w:bCs/>
          <w:sz w:val="24"/>
          <w:szCs w:val="24"/>
        </w:rPr>
        <w:t xml:space="preserve">Settlement Timing</w:t>
      </w:r>
    </w:p>
    <w:p>
      <w:pPr>
        <w:spacing w:after="160"/>
      </w:pPr>
      <w:r>
        <w:rPr>
          <w:rFonts w:ascii="Arial" w:cs="Arial" w:eastAsia="Arial" w:hAnsi="Arial"/>
          <w:b w:val="false"/>
          <w:bCs w:val="false"/>
          <w:sz w:val="20"/>
          <w:szCs w:val="20"/>
        </w:rPr>
        <w:t xml:space="preserve">The reader tab settles automatically when the balance crosses £8.00. If the balance has not crossed £8.00 naturally, it settles one month after the last payment, provided the balance is at least £2.00. Below £2.00, the balance carries forward indefinitely until either threshold is crossed.</w:t>
      </w:r>
    </w:p>
    <w:p>
      <w:pPr>
        <w:spacing w:after="160"/>
      </w:pPr>
      <w:r>
        <w:rPr>
          <w:rFonts w:ascii="Arial" w:cs="Arial" w:eastAsia="Arial" w:hAnsi="Arial"/>
          <w:b w:val="false"/>
          <w:bCs w:val="false"/>
          <w:sz w:val="20"/>
          <w:szCs w:val="20"/>
        </w:rPr>
        <w:t xml:space="preserve">Writer payouts trigger automatically on a daily rolling basis when the writer’s available Stripe Connect balance (funds that have cleared Stripe’s standard 2-business-day settlement period) exceeds £20.00.</w:t>
      </w:r>
    </w:p>
    <w:p>
      <w:pPr>
        <w:pStyle w:val="Heading3"/>
        <w:spacing w:before="200" w:after="120"/>
      </w:pPr>
      <w:r>
        <w:rPr>
          <w:rFonts w:ascii="Arial" w:cs="Arial" w:eastAsia="Arial" w:hAnsi="Arial"/>
          <w:b/>
          <w:bCs/>
          <w:sz w:val="24"/>
          <w:szCs w:val="24"/>
        </w:rPr>
        <w:t xml:space="preserve">Layer 1: Stripe (Primary Settlement Rail)</w:t>
      </w:r>
    </w:p>
    <w:p>
      <w:pPr>
        <w:spacing w:after="160"/>
      </w:pPr>
      <w:r>
        <w:rPr>
          <w:rFonts w:ascii="Arial" w:cs="Arial" w:eastAsia="Arial" w:hAnsi="Arial"/>
          <w:b w:val="false"/>
          <w:bCs w:val="false"/>
          <w:sz w:val="20"/>
          <w:szCs w:val="20"/>
        </w:rPr>
        <w:t xml:space="preserve">Stripe handles all fiat payment operations at launch: card collection from readers (Stripe standard), payout to writers (Stripe Connect), and settlement triggering. The platform’s 8% cut is deducted at settlement time before writer credit is calculated. No KYC is required for readers. Stripe Connect KYC is required for writers before payouts can be made; earnings accrue and are held until verification completes.</w:t>
      </w:r>
    </w:p>
    <w:p>
      <w:pPr>
        <w:spacing w:after="160"/>
      </w:pPr>
      <w:r>
        <w:rPr>
          <w:rFonts w:ascii="Arial" w:cs="Arial" w:eastAsia="Arial" w:hAnsi="Arial"/>
          <w:b w:val="false"/>
          <w:bCs w:val="false"/>
          <w:sz w:val="20"/>
          <w:szCs w:val="20"/>
        </w:rPr>
        <w:t xml:space="preserve">Regulatory position: the platform is outside the UK/EU payments regulatory perimeter. No e-money is issued, no payment services are provided. Stripe is the authorised payment institution. Consumer Credit Act 1974 advice is pending; early indicators suggest the tab model is outside the CCA perimeter. Confirm with a financial services solicitor before launch.</w:t>
      </w:r>
    </w:p>
    <w:p>
      <w:pPr>
        <w:pStyle w:val="Heading3"/>
        <w:spacing w:before="200" w:after="120"/>
      </w:pPr>
      <w:r>
        <w:rPr>
          <w:rFonts w:ascii="Arial" w:cs="Arial" w:eastAsia="Arial" w:hAnsi="Arial"/>
          <w:b/>
          <w:bCs/>
          <w:sz w:val="24"/>
          <w:szCs w:val="24"/>
        </w:rPr>
        <w:t xml:space="preserve">Layer 2: Lightning / Cashu (Post-Launch)</w:t>
      </w:r>
    </w:p>
    <w:p>
      <w:pPr>
        <w:spacing w:after="160"/>
      </w:pPr>
      <w:r>
        <w:rPr>
          <w:rFonts w:ascii="Arial" w:cs="Arial" w:eastAsia="Arial" w:hAnsi="Arial"/>
          <w:b w:val="false"/>
          <w:bCs w:val="false"/>
          <w:sz w:val="20"/>
          <w:szCs w:val="20"/>
        </w:rPr>
        <w:t xml:space="preserve">Per-article Lightning (NIP-57 zap) and Cashu (NIP-61 nutzap) payments are in scope as a post-launch addition. No platform fee on sovereign payments at launch as an adoption incentive (subject to review). Inter-instance settlement via Lightning for instances that prefer sovereign settlement is post-launch. These payment rails are not required for the initial launch.</w:t>
      </w:r>
    </w:p>
    <w:p>
      <w:pPr>
        <w:pStyle w:val="Heading1"/>
        <w:spacing w:before="360" w:after="200"/>
      </w:pPr>
      <w:r>
        <w:rPr>
          <w:rFonts w:ascii="Arial" w:cs="Arial" w:eastAsia="Arial" w:hAnsi="Arial"/>
          <w:b/>
          <w:bCs/>
          <w:sz w:val="32"/>
          <w:szCs w:val="32"/>
        </w:rPr>
        <w:t xml:space="preserve">II.4. Content Access and Paywall Model</w:t>
      </w:r>
    </w:p>
    <w:p>
      <w:pPr>
        <w:pStyle w:val="Heading2"/>
        <w:spacing w:before="280" w:after="160"/>
      </w:pPr>
      <w:r>
        <w:rPr>
          <w:rFonts w:ascii="Arial" w:cs="Arial" w:eastAsia="Arial" w:hAnsi="Arial"/>
          <w:b/>
          <w:bCs/>
          <w:sz w:val="28"/>
          <w:szCs w:val="28"/>
        </w:rPr>
        <w:t xml:space="preserve">II.4a. Paywall Architecture: Split Event Model</w:t>
      </w:r>
    </w:p>
    <w:p>
      <w:pPr>
        <w:pStyle w:val="Heading3"/>
        <w:spacing w:before="200" w:after="120"/>
      </w:pPr>
      <w:r>
        <w:rPr>
          <w:rFonts w:ascii="Arial" w:cs="Arial" w:eastAsia="Arial" w:hAnsi="Arial"/>
          <w:b/>
          <w:bCs/>
          <w:sz w:val="24"/>
          <w:szCs w:val="24"/>
        </w:rPr>
        <w:t xml:space="preserve">Design Philosophy</w:t>
      </w:r>
    </w:p>
    <w:p>
      <w:pPr>
        <w:spacing w:after="160"/>
      </w:pPr>
      <w:r>
        <w:rPr>
          <w:rFonts w:ascii="Arial" w:cs="Arial" w:eastAsia="Arial" w:hAnsi="Arial"/>
          <w:b w:val="false"/>
          <w:bCs w:val="false"/>
          <w:sz w:val="20"/>
          <w:szCs w:val="20"/>
        </w:rPr>
        <w:t xml:space="preserve">The paywall is implemented through cryptographic encryption of the paywalled content body, not relay-mediated access control. This provides real enforcement — a non-paying reader cannot read the paywalled content regardless of which relay or client they use — while keeping the free section of every article fully standard and Nostr-compatible.</w:t>
      </w:r>
    </w:p>
    <w:p>
      <w:pPr>
        <w:spacing w:after="160"/>
      </w:pPr>
      <w:r>
        <w:rPr>
          <w:rFonts w:ascii="Arial" w:cs="Arial" w:eastAsia="Arial" w:hAnsi="Arial"/>
          <w:b w:val="false"/>
          <w:bCs w:val="false"/>
          <w:sz w:val="20"/>
          <w:szCs w:val="20"/>
        </w:rPr>
        <w:t xml:space="preserve">This supersedes the relay-mediated access control approach described in earlier drafts of this document. The reasons for the change are documented in the Design Decisions section below.</w:t>
      </w:r>
    </w:p>
    <w:p>
      <w:pPr>
        <w:pStyle w:val="Heading3"/>
        <w:spacing w:before="200" w:after="120"/>
      </w:pPr>
      <w:r>
        <w:rPr>
          <w:rFonts w:ascii="Arial" w:cs="Arial" w:eastAsia="Arial" w:hAnsi="Arial"/>
          <w:b/>
          <w:bCs/>
          <w:sz w:val="24"/>
          <w:szCs w:val="24"/>
        </w:rPr>
        <w:t xml:space="preserve">Two Events Per Paywalled Article</w:t>
      </w:r>
    </w:p>
    <w:p>
      <w:pPr>
        <w:spacing w:after="160"/>
      </w:pPr>
      <w:r>
        <w:rPr>
          <w:rFonts w:ascii="Arial" w:cs="Arial" w:eastAsia="Arial" w:hAnsi="Arial"/>
          <w:b w:val="false"/>
          <w:bCs w:val="false"/>
          <w:sz w:val="20"/>
          <w:szCs w:val="20"/>
        </w:rPr>
        <w:t xml:space="preserve">Every paywalled article produces two Nostr events on publish:</w:t>
      </w:r>
    </w:p>
    <w:p>
      <w:pPr>
        <w:spacing w:after="160"/>
      </w:pPr>
      <w:r>
        <w:rPr>
          <w:rFonts w:ascii="Arial" w:cs="Arial" w:eastAsia="Arial" w:hAnsi="Arial"/>
          <w:b/>
          <w:bCs/>
          <w:sz w:val="20"/>
          <w:szCs w:val="20"/>
        </w:rPr>
        <w:t xml:space="preserve">The article event (NIP-23, kind 30023): </w:t>
      </w:r>
      <w:r>
        <w:rPr>
          <w:rFonts w:ascii="Arial" w:cs="Arial" w:eastAsia="Arial" w:hAnsi="Arial"/>
          <w:sz w:val="20"/>
          <w:szCs w:val="20"/>
        </w:rPr>
        <w:t xml:space="preserve">Contains the plaintext free section in the content field, formatted as standard NIP-23 markdown. The gate marker position and article price are stored in tags. This event is fully standard — any Nostr client can read it, index it, and display it. Standard clients see a complete, well-formed article that happens to end at the gate. They have no idea anything is missing.</w:t>
      </w:r>
    </w:p>
    <w:p>
      <w:pPr>
        <w:spacing w:after="160"/>
      </w:pPr>
      <w:r>
        <w:rPr>
          <w:rFonts w:ascii="Arial" w:cs="Arial" w:eastAsia="Arial" w:hAnsi="Arial"/>
          <w:b/>
          <w:bCs/>
          <w:sz w:val="20"/>
          <w:szCs w:val="20"/>
        </w:rPr>
        <w:t xml:space="preserve">The vault event (kind 39701): </w:t>
      </w:r>
      <w:r>
        <w:rPr>
          <w:rFonts w:ascii="Arial" w:cs="Arial" w:eastAsia="Arial" w:hAnsi="Arial"/>
          <w:sz w:val="20"/>
          <w:szCs w:val="20"/>
        </w:rPr>
        <w:t xml:space="preserve">Contains the encrypted paywalled body. Tagged with the d value of its parent NIP-23 event. Stored on the platform relay alongside the article event. Inert without the content key.</w:t>
      </w:r>
    </w:p>
    <w:p>
      <w:pPr>
        <w:spacing w:after="160"/>
      </w:pPr>
      <w:r>
        <w:rPr>
          <w:rFonts w:ascii="Arial" w:cs="Arial" w:eastAsia="Arial" w:hAnsi="Arial"/>
          <w:b w:val="false"/>
          <w:bCs w:val="false"/>
          <w:sz w:val="20"/>
          <w:szCs w:val="20"/>
        </w:rPr>
        <w:t xml:space="preserve">The writer publishes once. The platform generates both events transparently.</w:t>
      </w:r>
    </w:p>
    <w:p>
      <w:pPr>
        <w:pStyle w:val="Heading3"/>
        <w:spacing w:before="200" w:after="120"/>
      </w:pPr>
      <w:r>
        <w:rPr>
          <w:rFonts w:ascii="Arial" w:cs="Arial" w:eastAsia="Arial" w:hAnsi="Arial"/>
          <w:b/>
          <w:bCs/>
          <w:sz w:val="24"/>
          <w:szCs w:val="24"/>
        </w:rPr>
        <w:t xml:space="preserve">Vault Event Structure</w:t>
      </w:r>
    </w:p>
    <w:p>
      <w:pPr>
        <w:spacing w:after="80"/>
        <w:ind w:left="720"/>
      </w:pPr>
      <w:r>
        <w:rPr>
          <w:rFonts w:ascii="Courier New" w:cs="Courier New" w:eastAsia="Courier New" w:hAnsi="Courier New"/>
          <w:sz w:val="18"/>
          <w:szCs w:val="18"/>
        </w:rPr>
        <w:t xml:space="preserve">{ "kind": 39701,</w:t>
      </w:r>
    </w:p>
    <w:p>
      <w:pPr>
        <w:spacing w:after="80"/>
        <w:ind w:left="720"/>
      </w:pPr>
      <w:r>
        <w:rPr>
          <w:rFonts w:ascii="Courier New" w:cs="Courier New" w:eastAsia="Courier New" w:hAnsi="Courier New"/>
          <w:sz w:val="18"/>
          <w:szCs w:val="18"/>
        </w:rPr>
        <w:t xml:space="preserve">  "tags": [</w:t>
      </w:r>
    </w:p>
    <w:p>
      <w:pPr>
        <w:spacing w:after="80"/>
        <w:ind w:left="720"/>
      </w:pPr>
      <w:r>
        <w:rPr>
          <w:rFonts w:ascii="Courier New" w:cs="Courier New" w:eastAsia="Courier New" w:hAnsi="Courier New"/>
          <w:sz w:val="18"/>
          <w:szCs w:val="18"/>
        </w:rPr>
        <w:t xml:space="preserve">    ["d", "&lt;same d-tag as parent NIP-23 event&gt;"],</w:t>
      </w:r>
    </w:p>
    <w:p>
      <w:pPr>
        <w:spacing w:after="80"/>
        <w:ind w:left="720"/>
      </w:pPr>
      <w:r>
        <w:rPr>
          <w:rFonts w:ascii="Courier New" w:cs="Courier New" w:eastAsia="Courier New" w:hAnsi="Courier New"/>
          <w:sz w:val="18"/>
          <w:szCs w:val="18"/>
        </w:rPr>
        <w:t xml:space="preserve">    ["e", "&lt;NIP-23 event ID&gt;"],</w:t>
      </w:r>
    </w:p>
    <w:p>
      <w:pPr>
        <w:spacing w:after="80"/>
        <w:ind w:left="720"/>
      </w:pPr>
      <w:r>
        <w:rPr>
          <w:rFonts w:ascii="Courier New" w:cs="Courier New" w:eastAsia="Courier New" w:hAnsi="Courier New"/>
          <w:sz w:val="18"/>
          <w:szCs w:val="18"/>
        </w:rPr>
        <w:t xml:space="preserve">    ["encrypted", "aes-256-gcm"],</w:t>
      </w:r>
    </w:p>
    <w:p>
      <w:pPr>
        <w:spacing w:after="80"/>
        <w:ind w:left="720"/>
      </w:pPr>
      <w:r>
        <w:rPr>
          <w:rFonts w:ascii="Courier New" w:cs="Courier New" w:eastAsia="Courier New" w:hAnsi="Courier New"/>
          <w:sz w:val="18"/>
          <w:szCs w:val="18"/>
        </w:rPr>
        <w:t xml:space="preserve">    ["price", "100", "GBP"],  // in pence</w:t>
      </w:r>
    </w:p>
    <w:p>
      <w:pPr>
        <w:spacing w:after="80"/>
        <w:ind w:left="720"/>
      </w:pPr>
      <w:r>
        <w:rPr>
          <w:rFonts w:ascii="Courier New" w:cs="Courier New" w:eastAsia="Courier New" w:hAnsi="Courier New"/>
          <w:sz w:val="18"/>
          <w:szCs w:val="18"/>
        </w:rPr>
        <w:t xml:space="preserve">    ["gate", "50"]             // percentage position</w:t>
      </w:r>
    </w:p>
    <w:p>
      <w:pPr>
        <w:spacing w:after="80"/>
        <w:ind w:left="720"/>
      </w:pPr>
      <w:r>
        <w:rPr>
          <w:rFonts w:ascii="Courier New" w:cs="Courier New" w:eastAsia="Courier New" w:hAnsi="Courier New"/>
          <w:sz w:val="18"/>
          <w:szCs w:val="18"/>
        </w:rPr>
        <w:t xml:space="preserve">  ],</w:t>
      </w:r>
    </w:p>
    <w:p>
      <w:pPr>
        <w:spacing w:after="80"/>
        <w:ind w:left="720"/>
      </w:pPr>
      <w:r>
        <w:rPr>
          <w:rFonts w:ascii="Courier New" w:cs="Courier New" w:eastAsia="Courier New" w:hAnsi="Courier New"/>
          <w:sz w:val="18"/>
          <w:szCs w:val="18"/>
        </w:rPr>
        <w:t xml:space="preserve">  "content": "&lt;base64-encoded AES-256-GCM ciphertext of paywalled body&gt;"</w:t>
      </w:r>
    </w:p>
    <w:p>
      <w:pPr>
        <w:spacing w:after="80"/>
        <w:ind w:left="720"/>
      </w:pPr>
      <w:r>
        <w:rPr>
          <w:rFonts w:ascii="Courier New" w:cs="Courier New" w:eastAsia="Courier New" w:hAnsi="Courier New"/>
          <w:sz w:val="18"/>
          <w:szCs w:val="18"/>
        </w:rPr>
        <w:t xml:space="preserve">}</w:t>
      </w:r>
    </w:p>
    <w:p>
      <w:pPr>
        <w:spacing w:after="160"/>
      </w:pPr>
      <w:r>
        <w:rPr>
          <w:rFonts w:ascii="Arial" w:cs="Arial" w:eastAsia="Arial" w:hAnsi="Arial"/>
          <w:b w:val="false"/>
          <w:bCs w:val="false"/>
          <w:sz w:val="20"/>
          <w:szCs w:val="20"/>
        </w:rPr>
        <w:t xml:space="preserve">Kind 39701 is in the addressable content range. The e tag points to the parent article event. The d tag matches the parent’s d tag, making the vault stable across article edits.</w:t>
      </w:r>
    </w:p>
    <w:p>
      <w:pPr>
        <w:pStyle w:val="Heading3"/>
        <w:spacing w:before="200" w:after="120"/>
      </w:pPr>
      <w:r>
        <w:rPr>
          <w:rFonts w:ascii="Arial" w:cs="Arial" w:eastAsia="Arial" w:hAnsi="Arial"/>
          <w:b/>
          <w:bCs/>
          <w:sz w:val="24"/>
          <w:szCs w:val="24"/>
        </w:rPr>
        <w:t xml:space="preserve">Key Generation and the Key Service</w:t>
      </w:r>
    </w:p>
    <w:p>
      <w:pPr>
        <w:spacing w:after="160"/>
      </w:pPr>
      <w:r>
        <w:rPr>
          <w:rFonts w:ascii="Arial" w:cs="Arial" w:eastAsia="Arial" w:hAnsi="Arial"/>
          <w:b w:val="false"/>
          <w:bCs w:val="false"/>
          <w:sz w:val="20"/>
          <w:szCs w:val="20"/>
        </w:rPr>
        <w:t xml:space="preserve">On publish, the platform generates a random 256-bit symmetric content key (AES-256-GCM) for each paywalled article. This key:</w:t>
      </w:r>
    </w:p>
    <w:p>
      <w:pPr>
        <w:pStyle w:val="ListParagraph"/>
        <w:numPr>
          <w:ilvl w:val="0"/>
          <w:numId w:val="2"/>
        </w:numPr>
        <w:spacing w:after="80"/>
      </w:pPr>
      <w:r>
        <w:rPr>
          <w:rFonts w:ascii="Arial" w:cs="Arial" w:eastAsia="Arial" w:hAnsi="Arial"/>
          <w:sz w:val="20"/>
          <w:szCs w:val="20"/>
        </w:rPr>
        <w:t xml:space="preserve">Encrypts the paywalled body before the vault event is created</w:t>
      </w:r>
    </w:p>
    <w:p>
      <w:pPr>
        <w:pStyle w:val="ListParagraph"/>
        <w:numPr>
          <w:ilvl w:val="0"/>
          <w:numId w:val="2"/>
        </w:numPr>
        <w:spacing w:after="80"/>
      </w:pPr>
      <w:r>
        <w:rPr>
          <w:rFonts w:ascii="Arial" w:cs="Arial" w:eastAsia="Arial" w:hAnsi="Arial"/>
          <w:sz w:val="20"/>
          <w:szCs w:val="20"/>
        </w:rPr>
        <w:t xml:space="preserve">Is stored by the platform’s key service, indexed against the article’s NIP-23 event ID</w:t>
      </w:r>
    </w:p>
    <w:p>
      <w:pPr>
        <w:pStyle w:val="ListParagraph"/>
        <w:numPr>
          <w:ilvl w:val="0"/>
          <w:numId w:val="2"/>
        </w:numPr>
        <w:spacing w:after="80"/>
      </w:pPr>
      <w:r>
        <w:rPr>
          <w:rFonts w:ascii="Arial" w:cs="Arial" w:eastAsia="Arial" w:hAnsi="Arial"/>
          <w:sz w:val="20"/>
          <w:szCs w:val="20"/>
        </w:rPr>
        <w:t xml:space="preserve">Is never stored in any Nostr event in plaintext</w:t>
      </w:r>
    </w:p>
    <w:p>
      <w:pPr>
        <w:spacing w:after="160"/>
      </w:pPr>
      <w:r>
        <w:rPr>
          <w:rFonts w:ascii="Arial" w:cs="Arial" w:eastAsia="Arial" w:hAnsi="Arial"/>
          <w:b w:val="false"/>
          <w:bCs w:val="false"/>
          <w:sz w:val="20"/>
          <w:szCs w:val="20"/>
        </w:rPr>
        <w:t xml:space="preserve">The key service is a conventional HTTPS service with one job: on proof of payment, issue the content key for a given article to a given reader, encrypted to that reader’s public key using NIP-44.</w:t>
      </w:r>
    </w:p>
    <w:p>
      <w:pPr>
        <w:spacing w:after="160"/>
      </w:pPr>
      <w:r>
        <w:rPr>
          <w:rFonts w:ascii="Arial" w:cs="Arial" w:eastAsia="Arial" w:hAnsi="Arial"/>
          <w:b w:val="false"/>
          <w:bCs w:val="false"/>
          <w:sz w:val="20"/>
          <w:szCs w:val="20"/>
        </w:rPr>
        <w:t xml:space="preserve">The key service is a named infrastructure component, distinct from the relay and the payment service. It runs alongside the relay. On self-hosted instances it can also be self-hosted; federation requires only that instances agree on the vault event kind specification.</w:t>
      </w:r>
    </w:p>
    <w:p>
      <w:pPr>
        <w:pStyle w:val="Heading3"/>
        <w:spacing w:before="200" w:after="120"/>
      </w:pPr>
      <w:r>
        <w:rPr>
          <w:rFonts w:ascii="Arial" w:cs="Arial" w:eastAsia="Arial" w:hAnsi="Arial"/>
          <w:b/>
          <w:bCs/>
          <w:sz w:val="24"/>
          <w:szCs w:val="24"/>
        </w:rPr>
        <w:t xml:space="preserve">Reader Keypair Custody</w:t>
      </w:r>
    </w:p>
    <w:p>
      <w:pPr>
        <w:spacing w:after="160"/>
      </w:pPr>
      <w:r>
        <w:rPr>
          <w:rFonts w:ascii="Arial" w:cs="Arial" w:eastAsia="Arial" w:hAnsi="Arial"/>
          <w:b w:val="false"/>
          <w:bCs w:val="false"/>
          <w:sz w:val="20"/>
          <w:szCs w:val="20"/>
        </w:rPr>
        <w:t xml:space="preserve">Readers, like writers, receive a custodially managed Nostr keypair on account creation. The platform’s signing service handles all cryptographic operations on the reader’s behalf, including decryption of NIP-44 encrypted content keys. Readers never need to know encryption is happening.</w:t>
      </w:r>
    </w:p>
    <w:p>
      <w:pPr>
        <w:pStyle w:val="Heading3"/>
        <w:spacing w:before="200" w:after="120"/>
      </w:pPr>
      <w:r>
        <w:rPr>
          <w:rFonts w:ascii="Arial" w:cs="Arial" w:eastAsia="Arial" w:hAnsi="Arial"/>
          <w:b/>
          <w:bCs/>
          <w:sz w:val="24"/>
          <w:szCs w:val="24"/>
        </w:rPr>
        <w:t xml:space="preserve">The Read Flow</w:t>
      </w:r>
    </w:p>
    <w:p>
      <w:pPr>
        <w:spacing w:after="160"/>
      </w:pPr>
      <w:r>
        <w:rPr>
          <w:rFonts w:ascii="Arial" w:cs="Arial" w:eastAsia="Arial" w:hAnsi="Arial"/>
          <w:b/>
          <w:bCs/>
          <w:sz w:val="20"/>
          <w:szCs w:val="20"/>
        </w:rPr>
        <w:t xml:space="preserve">Unauthenticated or unpaid reader: </w:t>
      </w:r>
      <w:r>
        <w:rPr>
          <w:rFonts w:ascii="Arial" w:cs="Arial" w:eastAsia="Arial" w:hAnsi="Arial"/>
          <w:sz w:val="20"/>
          <w:szCs w:val="20"/>
        </w:rPr>
        <w:t xml:space="preserve">Client fetches the NIP-23 event. Renders the free section. Encounters the gate marker in the tags. Displays the gate UI. The vault event is on the relay but is useless without the content key.</w:t>
      </w:r>
    </w:p>
    <w:p>
      <w:pPr>
        <w:spacing w:after="160"/>
      </w:pPr>
      <w:r>
        <w:rPr>
          <w:rFonts w:ascii="Arial" w:cs="Arial" w:eastAsia="Arial" w:hAnsi="Arial"/>
          <w:b/>
          <w:bCs/>
          <w:sz w:val="20"/>
          <w:szCs w:val="20"/>
        </w:rPr>
        <w:t xml:space="preserve">Reader who has paid: </w:t>
      </w:r>
      <w:r>
        <w:rPr>
          <w:rFonts w:ascii="Arial" w:cs="Arial" w:eastAsia="Arial" w:hAnsi="Arial"/>
          <w:sz w:val="20"/>
          <w:szCs w:val="20"/>
        </w:rPr>
        <w:t xml:space="preserve">Payment service confirms the read event and updates the reader’s tab. Key service issues the content key encrypted to the reader’s public key (NIP-44). Platform’s signing service decrypts it. Client fetches and decrypts the vault event. Full article renders. From the reader’s perspective: they pass the gate, the article continues.</w:t>
      </w:r>
    </w:p>
    <w:p>
      <w:pPr>
        <w:pStyle w:val="Heading3"/>
        <w:spacing w:before="200" w:after="120"/>
      </w:pPr>
      <w:r>
        <w:rPr>
          <w:rFonts w:ascii="Arial" w:cs="Arial" w:eastAsia="Arial" w:hAnsi="Arial"/>
          <w:b/>
          <w:bCs/>
          <w:sz w:val="24"/>
          <w:szCs w:val="24"/>
        </w:rPr>
        <w:t xml:space="preserve">Key Re-issuance</w:t>
      </w:r>
    </w:p>
    <w:p>
      <w:pPr>
        <w:spacing w:after="160"/>
      </w:pPr>
      <w:r>
        <w:rPr>
          <w:rFonts w:ascii="Arial" w:cs="Arial" w:eastAsia="Arial" w:hAnsi="Arial"/>
          <w:b w:val="false"/>
          <w:bCs w:val="false"/>
          <w:sz w:val="20"/>
          <w:szCs w:val="20"/>
        </w:rPr>
        <w:t xml:space="preserve">The key service retains the plaintext content key server-side. Any reader with a settled payment record for an article can request the content key again at any time — account recovery, new device, session expiry. The platform confirms the payment record and re-issues the NIP-44 encrypted key. Readers never lose access to content they have paid for.</w:t>
      </w:r>
    </w:p>
    <w:p>
      <w:pPr>
        <w:pStyle w:val="Heading3"/>
        <w:spacing w:before="200" w:after="120"/>
      </w:pPr>
      <w:r>
        <w:rPr>
          <w:rFonts w:ascii="Arial" w:cs="Arial" w:eastAsia="Arial" w:hAnsi="Arial"/>
          <w:b/>
          <w:bCs/>
          <w:sz w:val="24"/>
          <w:szCs w:val="24"/>
        </w:rPr>
        <w:t xml:space="preserve">Article Edits</w:t>
      </w:r>
    </w:p>
    <w:p>
      <w:pPr>
        <w:spacing w:after="160"/>
      </w:pPr>
      <w:r>
        <w:rPr>
          <w:rFonts w:ascii="Arial" w:cs="Arial" w:eastAsia="Arial" w:hAnsi="Arial"/>
          <w:b w:val="false"/>
          <w:bCs w:val="false"/>
          <w:sz w:val="20"/>
          <w:szCs w:val="20"/>
        </w:rPr>
        <w:t xml:space="preserve">When a writer edits a published paywalled article, the platform publishes a new NIP-23 event version and re-encrypts the new body with the same content key. A new vault event is published with updated ciphertext. Readers who already hold the content key do not need to do anything — their key still works.</w:t>
      </w:r>
    </w:p>
    <w:p>
      <w:pPr>
        <w:pStyle w:val="Heading3"/>
        <w:spacing w:before="200" w:after="120"/>
      </w:pPr>
      <w:r>
        <w:rPr>
          <w:rFonts w:ascii="Arial" w:cs="Arial" w:eastAsia="Arial" w:hAnsi="Arial"/>
          <w:b/>
          <w:bCs/>
          <w:sz w:val="24"/>
          <w:szCs w:val="24"/>
        </w:rPr>
        <w:t xml:space="preserve">Standard Client Behaviour</w:t>
      </w:r>
    </w:p>
    <w:p>
      <w:pPr>
        <w:spacing w:after="160"/>
      </w:pPr>
      <w:r>
        <w:rPr>
          <w:rFonts w:ascii="Arial" w:cs="Arial" w:eastAsia="Arial" w:hAnsi="Arial"/>
          <w:b w:val="false"/>
          <w:bCs w:val="false"/>
          <w:sz w:val="20"/>
          <w:szCs w:val="20"/>
        </w:rPr>
        <w:t xml:space="preserve">A standard Nostr client fetching a platform.pub paywalled article sees a complete, well-formed NIP-23 event ending at the gate. If it fetches the kind 39701 vault event and doesn’t understand it, it ignores it — standard Nostr behaviour for unknown kinds. No broken rendering, no error state. The paywall is real: standard clients cannot show the paywalled content, by design.</w:t>
      </w:r>
    </w:p>
    <w:p>
      <w:pPr>
        <w:pStyle w:val="Heading3"/>
        <w:spacing w:before="200" w:after="120"/>
      </w:pPr>
      <w:r>
        <w:rPr>
          <w:rFonts w:ascii="Arial" w:cs="Arial" w:eastAsia="Arial" w:hAnsi="Arial"/>
          <w:b/>
          <w:bCs/>
          <w:sz w:val="24"/>
          <w:szCs w:val="24"/>
        </w:rPr>
        <w:t xml:space="preserve">Design Decision: Why Not Relay-Mediated Access Control</w:t>
      </w:r>
    </w:p>
    <w:p>
      <w:pPr>
        <w:spacing w:after="160"/>
      </w:pPr>
      <w:r>
        <w:rPr>
          <w:rFonts w:ascii="Arial" w:cs="Arial" w:eastAsia="Arial" w:hAnsi="Arial"/>
          <w:b w:val="false"/>
          <w:bCs w:val="false"/>
          <w:sz w:val="20"/>
          <w:szCs w:val="20"/>
        </w:rPr>
        <w:t xml:space="preserve">Earlier drafts described relay-mediated access control as the primary paywall mechanism. This approach was superseded for the following reasons:</w:t>
      </w:r>
    </w:p>
    <w:p>
      <w:pPr>
        <w:pStyle w:val="ListParagraph"/>
        <w:numPr>
          <w:ilvl w:val="0"/>
          <w:numId w:val="2"/>
        </w:numPr>
        <w:spacing w:after="80"/>
      </w:pPr>
      <w:r>
        <w:rPr>
          <w:rFonts w:ascii="Arial" w:cs="Arial" w:eastAsia="Arial" w:hAnsi="Arial"/>
          <w:sz w:val="20"/>
          <w:szCs w:val="20"/>
        </w:rPr>
        <w:t xml:space="preserve">On the hosted platform, custodial key management means the relay is trusting the platform, not the reader — recreating a centralised access control system with extra protocol steps.</w:t>
      </w:r>
    </w:p>
    <w:p>
      <w:pPr>
        <w:pStyle w:val="ListParagraph"/>
        <w:numPr>
          <w:ilvl w:val="0"/>
          <w:numId w:val="2"/>
        </w:numPr>
        <w:spacing w:after="80"/>
      </w:pPr>
      <w:r>
        <w:rPr>
          <w:rFonts w:ascii="Arial" w:cs="Arial" w:eastAsia="Arial" w:hAnsi="Arial"/>
          <w:sz w:val="20"/>
          <w:szCs w:val="20"/>
        </w:rPr>
        <w:t xml:space="preserve">Serving truncated events — the same event ID returning different content to different requesters — breaks content addressability, a foundational Nostr property.</w:t>
      </w:r>
    </w:p>
    <w:p>
      <w:pPr>
        <w:pStyle w:val="ListParagraph"/>
        <w:numPr>
          <w:ilvl w:val="0"/>
          <w:numId w:val="2"/>
        </w:numPr>
        <w:spacing w:after="80"/>
      </w:pPr>
      <w:r>
        <w:rPr>
          <w:rFonts w:ascii="Arial" w:cs="Arial" w:eastAsia="Arial" w:hAnsi="Arial"/>
          <w:sz w:val="20"/>
          <w:szCs w:val="20"/>
        </w:rPr>
        <w:t xml:space="preserve">The encrypted body approach provides real enforcement for all clients, not just the platform’s own client. A determined non-payer using any Nostr client cannot read the paywalled content.</w:t>
      </w:r>
    </w:p>
    <w:p>
      <w:pPr>
        <w:spacing w:after="160"/>
      </w:pPr>
      <w:r>
        <w:rPr>
          <w:rFonts w:ascii="Arial" w:cs="Arial" w:eastAsia="Arial" w:hAnsi="Arial"/>
          <w:b w:val="false"/>
          <w:bCs w:val="false"/>
          <w:sz w:val="20"/>
          <w:szCs w:val="20"/>
        </w:rPr>
        <w:t xml:space="preserve">The relay-mediated model’s genuine advantage — avoiding per-reader key distribution — is addressed by the key service’s re-issuance model: the key is issued once per reader per article, not once per read event, and is cached by the client.</w:t>
      </w:r>
    </w:p>
    <w:p>
      <w:pPr>
        <w:pStyle w:val="Heading3"/>
        <w:spacing w:before="200" w:after="120"/>
      </w:pPr>
      <w:r>
        <w:rPr>
          <w:rFonts w:ascii="Arial" w:cs="Arial" w:eastAsia="Arial" w:hAnsi="Arial"/>
          <w:b/>
          <w:bCs/>
          <w:sz w:val="24"/>
          <w:szCs w:val="24"/>
        </w:rPr>
        <w:t xml:space="preserve">Inter-Instance Considerations</w:t>
      </w:r>
    </w:p>
    <w:p>
      <w:pPr>
        <w:spacing w:after="160"/>
      </w:pPr>
      <w:r>
        <w:rPr>
          <w:rFonts w:ascii="Arial" w:cs="Arial" w:eastAsia="Arial" w:hAnsi="Arial"/>
          <w:b w:val="false"/>
          <w:bCs w:val="false"/>
          <w:sz w:val="20"/>
          <w:szCs w:val="20"/>
        </w:rPr>
        <w:t xml:space="preserve">The split event model scales cleanly to self-hosted instances. A self-hosted instance runs its own relay (holds both event kinds) and its own key service. Federation requires only that instances agree on the kind 39701 specification. The key service issues content keys against its own payment records; no cross-instance key service dependency exists.</w:t>
      </w:r>
    </w:p>
    <w:p>
      <w:pPr>
        <w:pStyle w:val="Heading2"/>
        <w:spacing w:before="280" w:after="160"/>
      </w:pPr>
      <w:r>
        <w:rPr>
          <w:rFonts w:ascii="Arial" w:cs="Arial" w:eastAsia="Arial" w:hAnsi="Arial"/>
          <w:b/>
          <w:bCs/>
          <w:sz w:val="28"/>
          <w:szCs w:val="28"/>
        </w:rPr>
        <w:t xml:space="preserve">II.4b. Consumption Receipt</w:t>
      </w:r>
    </w:p>
    <w:p>
      <w:pPr>
        <w:pStyle w:val="Heading3"/>
        <w:spacing w:before="200" w:after="120"/>
      </w:pPr>
      <w:r>
        <w:rPr>
          <w:rFonts w:ascii="Arial" w:cs="Arial" w:eastAsia="Arial" w:hAnsi="Arial"/>
          <w:b/>
          <w:bCs/>
          <w:sz w:val="24"/>
          <w:szCs w:val="24"/>
        </w:rPr>
        <w:t xml:space="preserve">Design Philosophy</w:t>
      </w:r>
    </w:p>
    <w:p>
      <w:pPr>
        <w:spacing w:after="160"/>
      </w:pPr>
      <w:r>
        <w:rPr>
          <w:rFonts w:ascii="Arial" w:cs="Arial" w:eastAsia="Arial" w:hAnsi="Arial"/>
          <w:b w:val="false"/>
          <w:bCs w:val="false"/>
          <w:sz w:val="20"/>
          <w:szCs w:val="20"/>
        </w:rPr>
        <w:t xml:space="preserve">When a reader passes a paywall gate, two records are created: a payment service database entry (operational) and a Nostr receipt event (audit trail). These serve different consumers and must not be conflated.</w:t>
      </w:r>
    </w:p>
    <w:p>
      <w:pPr>
        <w:spacing w:after="160"/>
      </w:pPr>
      <w:r>
        <w:rPr>
          <w:rFonts w:ascii="Arial" w:cs="Arial" w:eastAsia="Arial" w:hAnsi="Arial"/>
          <w:b/>
          <w:bCs/>
          <w:sz w:val="20"/>
          <w:szCs w:val="20"/>
        </w:rPr>
        <w:t xml:space="preserve">Payment service database entry: </w:t>
      </w:r>
      <w:r>
        <w:rPr>
          <w:rFonts w:ascii="Arial" w:cs="Arial" w:eastAsia="Arial" w:hAnsi="Arial"/>
          <w:sz w:val="20"/>
          <w:szCs w:val="20"/>
        </w:rPr>
        <w:t xml:space="preserve">The live operational record. Fast, consistent, private. This is what the tab balance is computed from, what triggers settlement, what the writer’s earnings dashboard reads. It does not need to be a Nostr event.</w:t>
      </w:r>
    </w:p>
    <w:p>
      <w:pPr>
        <w:spacing w:after="160"/>
      </w:pPr>
      <w:r>
        <w:rPr>
          <w:rFonts w:ascii="Arial" w:cs="Arial" w:eastAsia="Arial" w:hAnsi="Arial"/>
          <w:b/>
          <w:bCs/>
          <w:sz w:val="20"/>
          <w:szCs w:val="20"/>
        </w:rPr>
        <w:t xml:space="preserve">Consumption receipt event: </w:t>
      </w:r>
      <w:r>
        <w:rPr>
          <w:rFonts w:ascii="Arial" w:cs="Arial" w:eastAsia="Arial" w:hAnsi="Arial"/>
          <w:sz w:val="20"/>
          <w:szCs w:val="20"/>
        </w:rPr>
        <w:t xml:space="preserve">The cryptographically signed, tamper-evident record of the same fact. Its purpose is audit and eventual inter-instance federation verification. Not in the critical payment path.</w:t>
      </w:r>
    </w:p>
    <w:p>
      <w:pPr>
        <w:pStyle w:val="Heading3"/>
        <w:spacing w:before="200" w:after="120"/>
      </w:pPr>
      <w:r>
        <w:rPr>
          <w:rFonts w:ascii="Arial" w:cs="Arial" w:eastAsia="Arial" w:hAnsi="Arial"/>
          <w:b/>
          <w:bCs/>
          <w:sz w:val="24"/>
          <w:szCs w:val="24"/>
        </w:rPr>
        <w:t xml:space="preserve">Receipt Event Structure</w:t>
      </w:r>
    </w:p>
    <w:p>
      <w:pPr>
        <w:spacing w:after="80"/>
        <w:ind w:left="720"/>
      </w:pPr>
      <w:r>
        <w:rPr>
          <w:rFonts w:ascii="Courier New" w:cs="Courier New" w:eastAsia="Courier New" w:hAnsi="Courier New"/>
          <w:sz w:val="18"/>
          <w:szCs w:val="18"/>
        </w:rPr>
        <w:t xml:space="preserve">{ "kind": 9901,</w:t>
      </w:r>
    </w:p>
    <w:p>
      <w:pPr>
        <w:spacing w:after="80"/>
        <w:ind w:left="720"/>
      </w:pPr>
      <w:r>
        <w:rPr>
          <w:rFonts w:ascii="Courier New" w:cs="Courier New" w:eastAsia="Courier New" w:hAnsi="Courier New"/>
          <w:sz w:val="18"/>
          <w:szCs w:val="18"/>
        </w:rPr>
        <w:t xml:space="preserve">  "pubkey": "&lt;platform service pubkey&gt;",</w:t>
      </w:r>
    </w:p>
    <w:p>
      <w:pPr>
        <w:spacing w:after="80"/>
        <w:ind w:left="720"/>
      </w:pPr>
      <w:r>
        <w:rPr>
          <w:rFonts w:ascii="Courier New" w:cs="Courier New" w:eastAsia="Courier New" w:hAnsi="Courier New"/>
          <w:sz w:val="18"/>
          <w:szCs w:val="18"/>
        </w:rPr>
        <w:t xml:space="preserve">  "tags": [</w:t>
      </w:r>
    </w:p>
    <w:p>
      <w:pPr>
        <w:spacing w:after="80"/>
        <w:ind w:left="720"/>
      </w:pPr>
      <w:r>
        <w:rPr>
          <w:rFonts w:ascii="Courier New" w:cs="Courier New" w:eastAsia="Courier New" w:hAnsi="Courier New"/>
          <w:sz w:val="18"/>
          <w:szCs w:val="18"/>
        </w:rPr>
        <w:t xml:space="preserve">    ["e", "&lt;NIP-23 article event ID&gt;"],</w:t>
      </w:r>
    </w:p>
    <w:p>
      <w:pPr>
        <w:spacing w:after="80"/>
        <w:ind w:left="720"/>
      </w:pPr>
      <w:r>
        <w:rPr>
          <w:rFonts w:ascii="Courier New" w:cs="Courier New" w:eastAsia="Courier New" w:hAnsi="Courier New"/>
          <w:sz w:val="18"/>
          <w:szCs w:val="18"/>
        </w:rPr>
        <w:t xml:space="preserve">    ["p", "&lt;writer pubkey&gt;"],</w:t>
      </w:r>
    </w:p>
    <w:p>
      <w:pPr>
        <w:spacing w:after="80"/>
        <w:ind w:left="720"/>
      </w:pPr>
      <w:r>
        <w:rPr>
          <w:rFonts w:ascii="Courier New" w:cs="Courier New" w:eastAsia="Courier New" w:hAnsi="Courier New"/>
          <w:sz w:val="18"/>
          <w:szCs w:val="18"/>
        </w:rPr>
        <w:t xml:space="preserve">    ["reader", "&lt;keyed hash of reader pubkey&gt;"],</w:t>
      </w:r>
    </w:p>
    <w:p>
      <w:pPr>
        <w:spacing w:after="80"/>
        <w:ind w:left="720"/>
      </w:pPr>
      <w:r>
        <w:rPr>
          <w:rFonts w:ascii="Courier New" w:cs="Courier New" w:eastAsia="Courier New" w:hAnsi="Courier New"/>
          <w:sz w:val="18"/>
          <w:szCs w:val="18"/>
        </w:rPr>
        <w:t xml:space="preserve">    ["amount", "100", "GBP"],      // in pence</w:t>
      </w:r>
    </w:p>
    <w:p>
      <w:pPr>
        <w:spacing w:after="80"/>
        <w:ind w:left="720"/>
      </w:pPr>
      <w:r>
        <w:rPr>
          <w:rFonts w:ascii="Courier New" w:cs="Courier New" w:eastAsia="Courier New" w:hAnsi="Courier New"/>
          <w:sz w:val="18"/>
          <w:szCs w:val="18"/>
        </w:rPr>
        <w:t xml:space="preserve">    ["tab", "&lt;tab ID&gt;"],</w:t>
      </w:r>
    </w:p>
    <w:p>
      <w:pPr>
        <w:spacing w:after="80"/>
        <w:ind w:left="720"/>
      </w:pPr>
      <w:r>
        <w:rPr>
          <w:rFonts w:ascii="Courier New" w:cs="Courier New" w:eastAsia="Courier New" w:hAnsi="Courier New"/>
          <w:sz w:val="18"/>
          <w:szCs w:val="18"/>
        </w:rPr>
        <w:t xml:space="preserve">    ["gate", "passed"],</w:t>
      </w:r>
    </w:p>
    <w:p>
      <w:pPr>
        <w:spacing w:after="80"/>
        <w:ind w:left="720"/>
      </w:pPr>
      <w:r>
        <w:rPr>
          <w:rFonts w:ascii="Courier New" w:cs="Courier New" w:eastAsia="Courier New" w:hAnsi="Courier New"/>
          <w:sz w:val="18"/>
          <w:szCs w:val="18"/>
        </w:rPr>
        <w:t xml:space="preserve">    ["ts", "&lt;unix timestamp&gt;"]</w:t>
      </w:r>
    </w:p>
    <w:p>
      <w:pPr>
        <w:spacing w:after="80"/>
        <w:ind w:left="720"/>
      </w:pPr>
      <w:r>
        <w:rPr>
          <w:rFonts w:ascii="Courier New" w:cs="Courier New" w:eastAsia="Courier New" w:hAnsi="Courier New"/>
          <w:sz w:val="18"/>
          <w:szCs w:val="18"/>
        </w:rPr>
        <w:t xml:space="preserve">  ],</w:t>
      </w:r>
    </w:p>
    <w:p>
      <w:pPr>
        <w:spacing w:after="80"/>
        <w:ind w:left="720"/>
      </w:pPr>
      <w:r>
        <w:rPr>
          <w:rFonts w:ascii="Courier New" w:cs="Courier New" w:eastAsia="Courier New" w:hAnsi="Courier New"/>
          <w:sz w:val="18"/>
          <w:szCs w:val="18"/>
        </w:rPr>
        <w:t xml:space="preserve">  "content": ""</w:t>
      </w:r>
    </w:p>
    <w:p>
      <w:pPr>
        <w:spacing w:after="80"/>
        <w:ind w:left="720"/>
      </w:pPr>
      <w:r>
        <w:rPr>
          <w:rFonts w:ascii="Courier New" w:cs="Courier New" w:eastAsia="Courier New" w:hAnsi="Courier New"/>
          <w:sz w:val="18"/>
          <w:szCs w:val="18"/>
        </w:rPr>
        <w:t xml:space="preserve">}</w:t>
      </w:r>
    </w:p>
    <w:p>
      <w:pPr>
        <w:spacing w:after="160"/>
      </w:pPr>
      <w:r>
        <w:rPr>
          <w:rFonts w:ascii="Arial" w:cs="Arial" w:eastAsia="Arial" w:hAnsi="Arial"/>
          <w:b w:val="false"/>
          <w:bCs w:val="false"/>
          <w:sz w:val="20"/>
          <w:szCs w:val="20"/>
        </w:rPr>
        <w:t xml:space="preserve">Kind 9901 is in the transactional event range. Signed by the platform’s service keypair, not the reader’s keypair. The platform is attesting that the gate was passed and the charge recorded. Reader identity is stored as a keyed hash, not a plaintext pubkey, protecting reading privacy by default.</w:t>
      </w:r>
    </w:p>
    <w:p>
      <w:pPr>
        <w:pStyle w:val="Heading3"/>
        <w:spacing w:before="200" w:after="120"/>
      </w:pPr>
      <w:r>
        <w:rPr>
          <w:rFonts w:ascii="Arial" w:cs="Arial" w:eastAsia="Arial" w:hAnsi="Arial"/>
          <w:b/>
          <w:bCs/>
          <w:sz w:val="24"/>
          <w:szCs w:val="24"/>
        </w:rPr>
        <w:t xml:space="preserve">Privacy Model</w:t>
      </w:r>
    </w:p>
    <w:p>
      <w:pPr>
        <w:spacing w:after="160"/>
      </w:pPr>
      <w:r>
        <w:rPr>
          <w:rFonts w:ascii="Arial" w:cs="Arial" w:eastAsia="Arial" w:hAnsi="Arial"/>
          <w:b w:val="false"/>
          <w:bCs w:val="false"/>
          <w:sz w:val="20"/>
          <w:szCs w:val="20"/>
        </w:rPr>
        <w:t xml:space="preserve">The reader tag contains a keyed hash of the reader pubkey rather than the pubkey itself. This protects reader privacy: the receipt can verify that a reader paid without revealing which reader. Full reader identity in receipts is a post-launch decision that can be unlocked for writers who want audience analytics, rather than a privacy regression that has to be walked back.</w:t>
      </w:r>
    </w:p>
    <w:p>
      <w:pPr>
        <w:pStyle w:val="Heading3"/>
        <w:spacing w:before="200" w:after="120"/>
      </w:pPr>
      <w:r>
        <w:rPr>
          <w:rFonts w:ascii="Arial" w:cs="Arial" w:eastAsia="Arial" w:hAnsi="Arial"/>
          <w:b/>
          <w:bCs/>
          <w:sz w:val="24"/>
          <w:szCs w:val="24"/>
        </w:rPr>
        <w:t xml:space="preserve">Dual-Write Architecture</w:t>
      </w:r>
    </w:p>
    <w:p>
      <w:pPr>
        <w:spacing w:after="160"/>
      </w:pPr>
      <w:r>
        <w:rPr>
          <w:rFonts w:ascii="Arial" w:cs="Arial" w:eastAsia="Arial" w:hAnsi="Arial"/>
          <w:b w:val="false"/>
          <w:bCs w:val="false"/>
          <w:sz w:val="20"/>
          <w:szCs w:val="20"/>
        </w:rPr>
        <w:t xml:space="preserve">The payment service database entry and the receipt event are created together. If the database write succeeds but the relay publish fails, the payment proceeds and the receipt is queued for retry. The database write is always attempted first. Receipt events are queryable by writer pubkey and filterable by time range, allowing writers to independently verify their earnings against the platform’s credited amounts.</w:t>
      </w:r>
    </w:p>
    <w:p>
      <w:pPr>
        <w:pStyle w:val="Heading3"/>
        <w:spacing w:before="200" w:after="120"/>
      </w:pPr>
      <w:r>
        <w:rPr>
          <w:rFonts w:ascii="Arial" w:cs="Arial" w:eastAsia="Arial" w:hAnsi="Arial"/>
          <w:b/>
          <w:bCs/>
          <w:sz w:val="24"/>
          <w:szCs w:val="24"/>
        </w:rPr>
        <w:t xml:space="preserve">Platform Service Keypair</w:t>
      </w:r>
    </w:p>
    <w:p>
      <w:pPr>
        <w:spacing w:after="160"/>
      </w:pPr>
      <w:r>
        <w:rPr>
          <w:rFonts w:ascii="Arial" w:cs="Arial" w:eastAsia="Arial" w:hAnsi="Arial"/>
          <w:b w:val="false"/>
          <w:bCs w:val="false"/>
          <w:sz w:val="20"/>
          <w:szCs w:val="20"/>
        </w:rPr>
        <w:t xml:space="preserve">The platform operates a dedicated service keypair for signing receipt events. This keypair is distinct from writer and reader keypairs. Its public key is published and known, making receipt signatures verifiable by any party.</w:t>
      </w:r>
    </w:p>
    <w:p>
      <w:pPr>
        <w:pStyle w:val="Heading3"/>
        <w:spacing w:before="200" w:after="120"/>
      </w:pPr>
      <w:r>
        <w:rPr>
          <w:rFonts w:ascii="Arial" w:cs="Arial" w:eastAsia="Arial" w:hAnsi="Arial"/>
          <w:b/>
          <w:bCs/>
          <w:sz w:val="24"/>
          <w:szCs w:val="24"/>
        </w:rPr>
        <w:t xml:space="preserve">Inter-Instance Verification (Future)</w:t>
      </w:r>
    </w:p>
    <w:p>
      <w:pPr>
        <w:spacing w:after="160"/>
      </w:pPr>
      <w:r>
        <w:rPr>
          <w:rFonts w:ascii="Arial" w:cs="Arial" w:eastAsia="Arial" w:hAnsi="Arial"/>
          <w:b w:val="false"/>
          <w:bCs w:val="false"/>
          <w:sz w:val="20"/>
          <w:szCs w:val="20"/>
        </w:rPr>
        <w:t xml:space="preserve">Receipt events are the foundation of the phased trust model for inter-instance settlement verification. Phase 1 uses creator-side access logging. Phase 2 introduces mutual receipts (co-signed by reader client and serving relay). Phase 3 introduces Merkle-checkpointed receipt logs. The settlement protocol is evidence-type-agnostic — instances negotiate the strongest mutually supported verification type. This upgradeability path allows the trust model to mature without coordinated protocol-breaking changes.</w:t>
      </w:r>
    </w:p>
    <w:p>
      <w:pPr>
        <w:pStyle w:val="Heading1"/>
        <w:spacing w:before="360" w:after="200"/>
      </w:pPr>
      <w:r>
        <w:rPr>
          <w:rFonts w:ascii="Arial" w:cs="Arial" w:eastAsia="Arial" w:hAnsi="Arial"/>
          <w:b/>
          <w:bCs/>
          <w:sz w:val="32"/>
          <w:szCs w:val="32"/>
        </w:rPr>
        <w:t xml:space="preserve">II.5. Feed Architecture</w:t>
      </w:r>
    </w:p>
    <w:p>
      <w:pPr>
        <w:pStyle w:val="Heading3"/>
        <w:spacing w:before="200" w:after="120"/>
      </w:pPr>
      <w:r>
        <w:rPr>
          <w:rFonts w:ascii="Arial" w:cs="Arial" w:eastAsia="Arial" w:hAnsi="Arial"/>
          <w:b/>
          <w:bCs/>
          <w:sz w:val="24"/>
          <w:szCs w:val="24"/>
        </w:rPr>
        <w:t xml:space="preserve">Design Principles</w:t>
      </w:r>
    </w:p>
    <w:p>
      <w:pPr>
        <w:spacing w:after="160"/>
      </w:pPr>
      <w:r>
        <w:rPr>
          <w:rFonts w:ascii="Arial" w:cs="Arial" w:eastAsia="Arial" w:hAnsi="Arial"/>
          <w:b w:val="false"/>
          <w:bCs w:val="false"/>
          <w:sz w:val="20"/>
          <w:szCs w:val="20"/>
        </w:rPr>
        <w:t xml:space="preserve">The feed is designed around reader experience and reader discovery. Writers benefit when the feed works well for readers, because feed-driven discovery is the primary mechanism of cross-creator tab revenue. The feed does not exist to give writers distribution — it exists to give readers a compelling reading experience.</w:t>
      </w:r>
    </w:p>
    <w:p>
      <w:pPr>
        <w:spacing w:after="160"/>
      </w:pPr>
      <w:r>
        <w:rPr>
          <w:rFonts w:ascii="Arial" w:cs="Arial" w:eastAsia="Arial" w:hAnsi="Arial"/>
          <w:b w:val="false"/>
          <w:bCs w:val="false"/>
          <w:sz w:val="20"/>
          <w:szCs w:val="20"/>
        </w:rPr>
        <w:t xml:space="preserve">The discovery rate — the variable describing how often readers encounter and pay for content from writers they did not previously follow — is the variable the platform most directly controls through feed design.</w:t>
      </w:r>
    </w:p>
    <w:p>
      <w:pPr>
        <w:pStyle w:val="Heading3"/>
        <w:spacing w:before="200" w:after="120"/>
      </w:pPr>
      <w:r>
        <w:rPr>
          <w:rFonts w:ascii="Arial" w:cs="Arial" w:eastAsia="Arial" w:hAnsi="Arial"/>
          <w:b/>
          <w:bCs/>
          <w:sz w:val="24"/>
          <w:szCs w:val="24"/>
        </w:rPr>
        <w:t xml:space="preserve">Two Feed Views</w:t>
      </w:r>
    </w:p>
    <w:p>
      <w:pPr>
        <w:spacing w:after="160"/>
      </w:pPr>
      <w:r>
        <w:rPr>
          <w:rFonts w:ascii="Arial" w:cs="Arial" w:eastAsia="Arial" w:hAnsi="Arial"/>
          <w:b/>
          <w:bCs/>
          <w:sz w:val="20"/>
          <w:szCs w:val="20"/>
        </w:rPr>
        <w:t xml:space="preserve">Following feed: </w:t>
      </w:r>
      <w:r>
        <w:rPr>
          <w:rFonts w:ascii="Arial" w:cs="Arial" w:eastAsia="Arial" w:hAnsi="Arial"/>
          <w:sz w:val="20"/>
          <w:szCs w:val="20"/>
        </w:rPr>
        <w:t xml:space="preserve">Strict reverse-chronological stream of all articles and notes from followed writers. Social activity (replies, reactions, quote-comments) is included but filtered: only the most engaging social froth surfaces, preventing the feed becoming a firehose of comment activity. Chronological ordering of proper content is visible and predictable; curation of froth is invisible.</w:t>
      </w:r>
    </w:p>
    <w:p>
      <w:pPr>
        <w:spacing w:after="160"/>
      </w:pPr>
      <w:r>
        <w:rPr>
          <w:rFonts w:ascii="Arial" w:cs="Arial" w:eastAsia="Arial" w:hAnsi="Arial"/>
          <w:b/>
          <w:bCs/>
          <w:sz w:val="20"/>
          <w:szCs w:val="20"/>
        </w:rPr>
        <w:t xml:space="preserve">For You feed: </w:t>
      </w:r>
      <w:r>
        <w:rPr>
          <w:rFonts w:ascii="Arial" w:cs="Arial" w:eastAsia="Arial" w:hAnsi="Arial"/>
          <w:sz w:val="20"/>
          <w:szCs w:val="20"/>
        </w:rPr>
        <w:t xml:space="preserve">Native platform content (Tier 1) and federated Nostr content (Tier 2) only. Bridged fediverse (Tier 3) and RSS (Tier 4) do not appear. Ranked by a blended signal: engagement velocity (rate of reactions, quote-comments, replies, weighted by recency) and revenue conversion rate (rate at which readers who encountered this content via the feed passed the paywall gate and generated settled revenue). Weighting between signals is a configuration parameter tuned post-launch.</w:t>
      </w:r>
    </w:p>
    <w:p>
      <w:pPr>
        <w:pStyle w:val="Heading3"/>
        <w:spacing w:before="200" w:after="120"/>
      </w:pPr>
      <w:r>
        <w:rPr>
          <w:rFonts w:ascii="Arial" w:cs="Arial" w:eastAsia="Arial" w:hAnsi="Arial"/>
          <w:b/>
          <w:bCs/>
          <w:sz w:val="24"/>
          <w:szCs w:val="24"/>
        </w:rPr>
        <w:t xml:space="preserve">Anti-Concentration</w:t>
      </w:r>
    </w:p>
    <w:p>
      <w:pPr>
        <w:spacing w:after="160"/>
      </w:pPr>
      <w:r>
        <w:rPr>
          <w:rFonts w:ascii="Arial" w:cs="Arial" w:eastAsia="Arial" w:hAnsi="Arial"/>
          <w:b w:val="false"/>
          <w:bCs w:val="false"/>
          <w:sz w:val="20"/>
          <w:szCs w:val="20"/>
        </w:rPr>
        <w:t xml:space="preserve">The For You ranking algorithm explicitly accounts for writer diversity. Content from already-popular writers should not crowd out content from less-established writers performing well relative to their audience size. Revenue concentration — a small number of popular writers capturing most tab spending — would undermine the platform’s value proposition to the long tail of creators.</w:t>
      </w:r>
    </w:p>
    <w:p>
      <w:pPr>
        <w:pStyle w:val="Heading3"/>
        <w:spacing w:before="200" w:after="120"/>
      </w:pPr>
      <w:r>
        <w:rPr>
          <w:rFonts w:ascii="Arial" w:cs="Arial" w:eastAsia="Arial" w:hAnsi="Arial"/>
          <w:b/>
          <w:bCs/>
          <w:sz w:val="24"/>
          <w:szCs w:val="24"/>
        </w:rPr>
        <w:t xml:space="preserve">No Paywall Indicator in Feed Cards</w:t>
      </w:r>
    </w:p>
    <w:p>
      <w:pPr>
        <w:spacing w:after="160"/>
      </w:pPr>
      <w:r>
        <w:rPr>
          <w:rFonts w:ascii="Arial" w:cs="Arial" w:eastAsia="Arial" w:hAnsi="Arial"/>
          <w:b w:val="false"/>
          <w:bCs w:val="false"/>
          <w:sz w:val="20"/>
          <w:szCs w:val="20"/>
        </w:rPr>
        <w:t xml:space="preserve">Feed cards are uniform in visual treatment regardless of whether the article is paywalled. Price is never shown in the feed. Displaying price at the feed card level would train readers to filter by cost before reading, suppressing the casual reading that generates tab revenue from the long tail of writers. The gate handles the transaction; the feed handles the interest.</w:t>
      </w:r>
    </w:p>
    <w:p>
      <w:pPr>
        <w:pStyle w:val="Heading3"/>
        <w:spacing w:before="200" w:after="120"/>
      </w:pPr>
      <w:r>
        <w:rPr>
          <w:rFonts w:ascii="Arial" w:cs="Arial" w:eastAsia="Arial" w:hAnsi="Arial"/>
          <w:b/>
          <w:bCs/>
          <w:sz w:val="24"/>
          <w:szCs w:val="24"/>
        </w:rPr>
        <w:t xml:space="preserve">Feed for Unauthenticated Readers</w:t>
      </w:r>
    </w:p>
    <w:p>
      <w:pPr>
        <w:spacing w:after="160"/>
      </w:pPr>
      <w:r>
        <w:rPr>
          <w:rFonts w:ascii="Arial" w:cs="Arial" w:eastAsia="Arial" w:hAnsi="Arial"/>
          <w:b w:val="false"/>
          <w:bCs w:val="false"/>
          <w:sz w:val="20"/>
          <w:szCs w:val="20"/>
        </w:rPr>
        <w:t xml:space="preserve">Cold traffic arriving at platform.pub without a direct link sees a small, hand-curated selection of content from the launch cohort on the platform homepage — four to six pieces, selected by the founder, updated when strong new content is published. This is not a feed and not algorithmic. It is a “selected reading” surface.</w:t>
      </w:r>
    </w:p>
    <w:p>
      <w:pPr>
        <w:spacing w:after="160"/>
      </w:pPr>
      <w:r>
        <w:rPr>
          <w:rFonts w:ascii="Arial" w:cs="Arial" w:eastAsia="Arial" w:hAnsi="Arial"/>
          <w:b w:val="false"/>
          <w:bCs w:val="false"/>
          <w:sz w:val="20"/>
          <w:szCs w:val="20"/>
        </w:rPr>
        <w:t xml:space="preserve">The primary cold traffic pattern at launch is writer-directed: a writer posts “find me at writer.platform.pub” and their audience follows that link. The writer’s subdomain is the natural landing surface for that traffic. An algorithmic discovery surface for unauthenticated readers is post-launch, contingent on sufficient engagement data.</w:t>
      </w:r>
    </w:p>
    <w:p>
      <w:pPr>
        <w:pStyle w:val="Heading3"/>
        <w:spacing w:before="200" w:after="120"/>
      </w:pPr>
      <w:r>
        <w:rPr>
          <w:rFonts w:ascii="Arial" w:cs="Arial" w:eastAsia="Arial" w:hAnsi="Arial"/>
          <w:b/>
          <w:bCs/>
          <w:sz w:val="24"/>
          <w:szCs w:val="24"/>
        </w:rPr>
        <w:t xml:space="preserve">Content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7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 and feed treatment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content. Full participation in both feeds. Full payment integration, full social interaction, full moderation semantics.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Federated Nostr content conforming to platform protocols. Full participation in both feeds where the content conforms. Payment integration where the creator supports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Bridged fediverse content via Mostr. Following feed only, for readers who have explicitly followed a bridged account. Not in For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RSS. Following feed only, for readers who have explicitly subscribed. Not in For You.</w:t>
            </w:r>
          </w:p>
        </w:tc>
      </w:tr>
    </w:tbl>
    <w:p>
      <w:pPr>
        <w:spacing w:after="160"/>
      </w:pPr>
      <w:r>
        <w:rPr>
          <w:rFonts w:ascii="Arial" w:cs="Arial" w:eastAsia="Arial" w:hAnsi="Arial"/>
          <w:b w:val="false"/>
          <w:bCs w:val="false"/>
          <w:sz w:val="20"/>
          <w:szCs w:val="20"/>
        </w:rPr>
        <w:t xml:space="preserve"/>
      </w:r>
    </w:p>
    <w:p>
      <w:pPr>
        <w:pStyle w:val="Heading3"/>
        <w:spacing w:before="200" w:after="120"/>
      </w:pPr>
      <w:r>
        <w:rPr>
          <w:rFonts w:ascii="Arial" w:cs="Arial" w:eastAsia="Arial" w:hAnsi="Arial"/>
          <w:b/>
          <w:bCs/>
          <w:sz w:val="24"/>
          <w:szCs w:val="24"/>
        </w:rPr>
        <w:t xml:space="preserve">Notification Model</w:t>
      </w:r>
    </w:p>
    <w:p>
      <w:pPr>
        <w:spacing w:after="160"/>
      </w:pPr>
      <w:r>
        <w:rPr>
          <w:rFonts w:ascii="Arial" w:cs="Arial" w:eastAsia="Arial" w:hAnsi="Arial"/>
          <w:b w:val="false"/>
          <w:bCs w:val="false"/>
          <w:sz w:val="20"/>
          <w:szCs w:val="20"/>
        </w:rPr>
        <w:t xml:space="preserve">Notifications at launch: replies to the reader’s own comments; reactions to the reader’s own content (for writers); new content from followed writers (opt-in, not default-on). Scope is deliberately narrow to avoid notification fatigue. Expansion is post-launch.</w:t>
      </w:r>
    </w:p>
    <w:p>
      <w:pPr>
        <w:pStyle w:val="Heading1"/>
        <w:spacing w:before="360" w:after="200"/>
      </w:pPr>
      <w:r>
        <w:rPr>
          <w:rFonts w:ascii="Arial" w:cs="Arial" w:eastAsia="Arial" w:hAnsi="Arial"/>
          <w:b/>
          <w:bCs/>
          <w:sz w:val="32"/>
          <w:szCs w:val="32"/>
        </w:rPr>
        <w:t xml:space="preserve">II.6. Fediverse and External Platform Interoperability</w:t>
      </w:r>
    </w:p>
    <w:p>
      <w:pPr>
        <w:spacing w:after="160"/>
      </w:pPr>
      <w:r>
        <w:rPr>
          <w:rFonts w:ascii="Arial" w:cs="Arial" w:eastAsia="Arial" w:hAnsi="Arial"/>
          <w:b w:val="false"/>
          <w:bCs w:val="false"/>
          <w:sz w:val="20"/>
          <w:szCs w:val="20"/>
        </w:rPr>
        <w:t xml:space="preserve">Nostr’s relay model provides native federation with other Nostr instances. For broader interoperability:</w:t>
      </w:r>
    </w:p>
    <w:p>
      <w:pPr>
        <w:pStyle w:val="ListParagraph"/>
        <w:numPr>
          <w:ilvl w:val="0"/>
          <w:numId w:val="2"/>
        </w:numPr>
        <w:spacing w:after="80"/>
      </w:pPr>
      <w:r>
        <w:rPr>
          <w:rFonts w:ascii="Arial" w:cs="Arial" w:eastAsia="Arial" w:hAnsi="Arial"/>
          <w:sz w:val="20"/>
          <w:szCs w:val="20"/>
        </w:rPr>
        <w:t xml:space="preserve">ActivityPub / Mastodon bridge via Mostr (post-launch).</w:t>
      </w:r>
    </w:p>
    <w:p>
      <w:pPr>
        <w:pStyle w:val="ListParagraph"/>
        <w:numPr>
          <w:ilvl w:val="0"/>
          <w:numId w:val="2"/>
        </w:numPr>
        <w:spacing w:after="80"/>
      </w:pPr>
      <w:r>
        <w:rPr>
          <w:rFonts w:ascii="Arial" w:cs="Arial" w:eastAsia="Arial" w:hAnsi="Arial"/>
          <w:sz w:val="20"/>
          <w:szCs w:val="20"/>
        </w:rPr>
        <w:t xml:space="preserve">RSS/Atom output: platform.pub writers’ public posts available as RSS at launch, for distribution.</w:t>
      </w:r>
    </w:p>
    <w:p>
      <w:pPr>
        <w:pStyle w:val="ListParagraph"/>
        <w:numPr>
          <w:ilvl w:val="0"/>
          <w:numId w:val="2"/>
        </w:numPr>
        <w:spacing w:after="80"/>
      </w:pPr>
      <w:r>
        <w:rPr>
          <w:rFonts w:ascii="Arial" w:cs="Arial" w:eastAsia="Arial" w:hAnsi="Arial"/>
          <w:sz w:val="20"/>
          <w:szCs w:val="20"/>
        </w:rPr>
        <w:t xml:space="preserve">RSS/Atom input: feed assembly service ingests external RSS feeds as Tier 4 content (post-launch).</w:t>
      </w:r>
    </w:p>
    <w:p>
      <w:pPr>
        <w:pStyle w:val="ListParagraph"/>
        <w:numPr>
          <w:ilvl w:val="0"/>
          <w:numId w:val="2"/>
        </w:numPr>
        <w:spacing w:after="80"/>
      </w:pPr>
      <w:r>
        <w:rPr>
          <w:rFonts w:ascii="Arial" w:cs="Arial" w:eastAsia="Arial" w:hAnsi="Arial"/>
          <w:sz w:val="20"/>
          <w:szCs w:val="20"/>
        </w:rPr>
        <w:t xml:space="preserve">Platform-specific bridges for closed platforms (Twitter/X etc.): post-launch, fragile due to API restrictions, approached cautiously.</w:t>
      </w:r>
    </w:p>
    <w:p>
      <w:pPr>
        <w:spacing w:after="160"/>
      </w:pPr>
      <w:r>
        <w:rPr>
          <w:rFonts w:ascii="Arial" w:cs="Arial" w:eastAsia="Arial" w:hAnsi="Arial"/>
          <w:b w:val="false"/>
          <w:bCs w:val="false"/>
          <w:sz w:val="20"/>
          <w:szCs w:val="20"/>
        </w:rPr>
        <w:t xml:space="preserve">Launch note: Mostr bridge and RSS import are not required for the initial launch. RSS output is desirable at launch for distribution purposes.</w:t>
      </w:r>
    </w:p>
    <w:p>
      <w:pPr>
        <w:pStyle w:val="Heading1"/>
        <w:spacing w:before="360" w:after="200"/>
      </w:pPr>
      <w:r>
        <w:rPr>
          <w:rFonts w:ascii="Arial" w:cs="Arial" w:eastAsia="Arial" w:hAnsi="Arial"/>
          <w:b/>
          <w:bCs/>
          <w:sz w:val="32"/>
          <w:szCs w:val="32"/>
        </w:rPr>
        <w:t xml:space="preserve">II.7. Self-Hosted Instance Architecture</w:t>
      </w:r>
    </w:p>
    <w:p>
      <w:pPr>
        <w:pStyle w:val="Heading3"/>
        <w:spacing w:before="200" w:after="120"/>
      </w:pPr>
      <w:r>
        <w:rPr>
          <w:rFonts w:ascii="Arial" w:cs="Arial" w:eastAsia="Arial" w:hAnsi="Arial"/>
          <w:b/>
          <w:bCs/>
          <w:sz w:val="24"/>
          <w:szCs w:val="24"/>
        </w:rPr>
        <w:t xml:space="preserve">Distribution Model</w:t>
      </w:r>
    </w:p>
    <w:p>
      <w:pPr>
        <w:spacing w:after="160"/>
      </w:pPr>
      <w:r>
        <w:rPr>
          <w:rFonts w:ascii="Arial" w:cs="Arial" w:eastAsia="Arial" w:hAnsi="Arial"/>
          <w:b w:val="false"/>
          <w:bCs w:val="false"/>
          <w:sz w:val="20"/>
          <w:szCs w:val="20"/>
        </w:rPr>
        <w:t xml:space="preserve">A self-hosted instance is the same software as the hosted platform, distributed as a Docker image (primary) or single binary. Target ease of deployment: comparable to Ghost or WriteFreely.</w:t>
      </w:r>
    </w:p>
    <w:p>
      <w:pPr>
        <w:pStyle w:val="Heading3"/>
        <w:spacing w:before="200" w:after="120"/>
      </w:pPr>
      <w:r>
        <w:rPr>
          <w:rFonts w:ascii="Arial" w:cs="Arial" w:eastAsia="Arial" w:hAnsi="Arial"/>
          <w:b/>
          <w:bCs/>
          <w:sz w:val="24"/>
          <w:szCs w:val="24"/>
        </w:rPr>
        <w:t xml:space="preserve">What an Instance Includes</w:t>
      </w:r>
    </w:p>
    <w:p>
      <w:pPr>
        <w:pStyle w:val="ListParagraph"/>
        <w:numPr>
          <w:ilvl w:val="0"/>
          <w:numId w:val="2"/>
        </w:numPr>
        <w:spacing w:after="80"/>
      </w:pPr>
      <w:r>
        <w:rPr>
          <w:rFonts w:ascii="Arial" w:cs="Arial" w:eastAsia="Arial" w:hAnsi="Arial"/>
          <w:sz w:val="20"/>
          <w:szCs w:val="20"/>
        </w:rPr>
        <w:t xml:space="preserve">A Nostr relay (content storage and federation)</w:t>
      </w:r>
    </w:p>
    <w:p>
      <w:pPr>
        <w:pStyle w:val="ListParagraph"/>
        <w:numPr>
          <w:ilvl w:val="0"/>
          <w:numId w:val="2"/>
        </w:numPr>
        <w:spacing w:after="80"/>
      </w:pPr>
      <w:r>
        <w:rPr>
          <w:rFonts w:ascii="Arial" w:cs="Arial" w:eastAsia="Arial" w:hAnsi="Arial"/>
          <w:sz w:val="20"/>
          <w:szCs w:val="20"/>
        </w:rPr>
        <w:t xml:space="preserve">A Blossom media server (binary content)</w:t>
      </w:r>
    </w:p>
    <w:p>
      <w:pPr>
        <w:pStyle w:val="ListParagraph"/>
        <w:numPr>
          <w:ilvl w:val="0"/>
          <w:numId w:val="2"/>
        </w:numPr>
        <w:spacing w:after="80"/>
      </w:pPr>
      <w:r>
        <w:rPr>
          <w:rFonts w:ascii="Arial" w:cs="Arial" w:eastAsia="Arial" w:hAnsi="Arial"/>
          <w:sz w:val="20"/>
          <w:szCs w:val="20"/>
        </w:rPr>
        <w:t xml:space="preserve">A web client (same UI as the hosted platform)</w:t>
      </w:r>
    </w:p>
    <w:p>
      <w:pPr>
        <w:pStyle w:val="ListParagraph"/>
        <w:numPr>
          <w:ilvl w:val="0"/>
          <w:numId w:val="2"/>
        </w:numPr>
        <w:spacing w:after="80"/>
      </w:pPr>
      <w:r>
        <w:rPr>
          <w:rFonts w:ascii="Arial" w:cs="Arial" w:eastAsia="Arial" w:hAnsi="Arial"/>
          <w:sz w:val="20"/>
          <w:szCs w:val="20"/>
        </w:rPr>
        <w:t xml:space="preserve">A feed assembly service (local or delegated to a remote instance)</w:t>
      </w:r>
    </w:p>
    <w:p>
      <w:pPr>
        <w:pStyle w:val="ListParagraph"/>
        <w:numPr>
          <w:ilvl w:val="0"/>
          <w:numId w:val="2"/>
        </w:numPr>
        <w:spacing w:after="80"/>
      </w:pPr>
      <w:r>
        <w:rPr>
          <w:rFonts w:ascii="Arial" w:cs="Arial" w:eastAsia="Arial" w:hAnsi="Arial"/>
          <w:sz w:val="20"/>
          <w:szCs w:val="20"/>
        </w:rPr>
        <w:t xml:space="preserve">A reading tab database (tracks reader consumption for billing)</w:t>
      </w:r>
    </w:p>
    <w:p>
      <w:pPr>
        <w:pStyle w:val="ListParagraph"/>
        <w:numPr>
          <w:ilvl w:val="0"/>
          <w:numId w:val="2"/>
        </w:numPr>
        <w:spacing w:after="80"/>
      </w:pPr>
      <w:r>
        <w:rPr>
          <w:rFonts w:ascii="Arial" w:cs="Arial" w:eastAsia="Arial" w:hAnsi="Arial"/>
          <w:sz w:val="20"/>
          <w:szCs w:val="20"/>
        </w:rPr>
        <w:t xml:space="preserve">A paywall key service (content key delivery for vault event decryption — §II.4a)</w:t>
      </w:r>
    </w:p>
    <w:p>
      <w:pPr>
        <w:pStyle w:val="ListParagraph"/>
        <w:numPr>
          <w:ilvl w:val="0"/>
          <w:numId w:val="2"/>
        </w:numPr>
        <w:spacing w:after="80"/>
      </w:pPr>
      <w:r>
        <w:rPr>
          <w:rFonts w:ascii="Arial" w:cs="Arial" w:eastAsia="Arial" w:hAnsi="Arial"/>
          <w:sz w:val="20"/>
          <w:szCs w:val="20"/>
        </w:rPr>
        <w:t xml:space="preserve">Settlement configuration (Stripe, Lightning, or both)</w:t>
      </w:r>
    </w:p>
    <w:p>
      <w:pPr>
        <w:spacing w:after="160"/>
      </w:pPr>
      <w:r>
        <w:rPr>
          <w:rFonts w:ascii="Arial" w:cs="Arial" w:eastAsia="Arial" w:hAnsi="Arial"/>
          <w:b w:val="false"/>
          <w:bCs w:val="false"/>
          <w:sz w:val="20"/>
          <w:szCs w:val="20"/>
        </w:rPr>
        <w:t xml:space="preserve">Launch note: self-hosted packaging is not required for the initial launch. Self-hosting should be made available once the software is stable and federation mechanics are validated.</w:t>
      </w:r>
    </w:p>
    <w:p>
      <w:pPr>
        <w:pBdr>
          <w:bottom w:val="single" w:color="2E75B6" w:sz="6" w:space="1"/>
        </w:pBdr>
        <w:spacing w:before="200" w:after="200"/>
      </w:pPr>
    </w:p>
    <w:p>
      <w:r>
        <w:br w:type="page"/>
      </w:r>
    </w:p>
    <w:p>
      <w:pPr>
        <w:spacing w:before="240" w:after="360"/>
      </w:pPr>
      <w:r>
        <w:rPr>
          <w:rFonts w:ascii="Arial" w:cs="Arial" w:eastAsia="Arial" w:hAnsi="Arial"/>
          <w:b/>
          <w:bCs/>
          <w:color w:val="1F3864"/>
          <w:sz w:val="40"/>
          <w:szCs w:val="40"/>
        </w:rPr>
        <w:t xml:space="preserve">Part III: Implementation Plan</w:t>
      </w:r>
    </w:p>
    <w:p>
      <w:pPr>
        <w:pBdr>
          <w:bottom w:val="single" w:color="2E75B6" w:sz="6" w:space="1"/>
        </w:pBdr>
        <w:spacing w:before="200" w:after="200"/>
      </w:pPr>
    </w:p>
    <w:p>
      <w:pPr>
        <w:pStyle w:val="Heading1"/>
        <w:spacing w:before="360" w:after="200"/>
      </w:pPr>
      <w:r>
        <w:rPr>
          <w:rFonts w:ascii="Arial" w:cs="Arial" w:eastAsia="Arial" w:hAnsi="Arial"/>
          <w:b/>
          <w:bCs/>
          <w:sz w:val="32"/>
          <w:szCs w:val="32"/>
        </w:rPr>
        <w:t xml:space="preserve">III.1. Technology Stack (Preliminary)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Nostr libraries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NDK (TypeScript) — well-maintained, includes ndk-wallet and ndk-blossom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Relay software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be evaluated: strfry (C++), nostr-rs-relay (Rust), Go implementations. Selection depends on feasibility of vault event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Lightweight stateless HTTPS service (TypeScript or Go). Runs alongside relay. Needs: content key storage, NIP-44 encryption, payment status verification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TypeScript/React or Svelte. Evaluate against existing Nostr client codebases.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for reading tab, application state, consumption receipt indexes, feed service indexes.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Connect SDK (launch-critical). NDK-wallet for NIP-47/57/60/61 (post-launch).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Self-hosted packaging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Compose (relay + Blossom + key service + web client + feed service + database). Post-launch.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Hetzner (Germany) for compute and storage. UK-registered company.</w:t>
            </w:r>
          </w:p>
        </w:tc>
      </w:tr>
    </w:tbl>
    <w:p>
      <w:pPr>
        <w:spacing w:after="160"/>
      </w:pPr>
      <w:r>
        <w:rPr>
          <w:rFonts w:ascii="Arial" w:cs="Arial" w:eastAsia="Arial" w:hAnsi="Arial"/>
          <w:b w:val="false"/>
          <w:bCs w:val="false"/>
          <w:sz w:val="20"/>
          <w:szCs w:val="20"/>
        </w:rPr>
        <w:t xml:space="preserve"/>
      </w:r>
    </w:p>
    <w:p>
      <w:pPr>
        <w:pStyle w:val="Heading1"/>
        <w:spacing w:before="360" w:after="200"/>
      </w:pPr>
      <w:r>
        <w:rPr>
          <w:rFonts w:ascii="Arial" w:cs="Arial" w:eastAsia="Arial" w:hAnsi="Arial"/>
          <w:b/>
          <w:bCs/>
          <w:sz w:val="32"/>
          <w:szCs w:val="32"/>
        </w:rPr>
        <w:t xml:space="preserve">III.2. User Journey Map</w:t>
      </w:r>
    </w:p>
    <w:p>
      <w:pPr>
        <w:spacing w:after="160"/>
      </w:pPr>
      <w:r>
        <w:rPr>
          <w:rFonts w:ascii="Arial" w:cs="Arial" w:eastAsia="Arial" w:hAnsi="Arial"/>
          <w:b w:val="false"/>
          <w:bCs w:val="false"/>
          <w:sz w:val="20"/>
          <w:szCs w:val="20"/>
        </w:rPr>
        <w:t xml:space="preserve">All five launch-critical journeys are complete. Decisions from each have been incorporated into this document. Journeys 6–9 are post-launch.</w:t>
      </w:r>
    </w:p>
    <w:p>
      <w:pPr>
        <w:spacing w:after="1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600"/>
        <w:gridCol w:w="1400"/>
        <w:gridCol w:w="1800"/>
      </w:tblGrid>
      <w:tr>
        <w:trPr>
          <w:tblHeader/>
        </w:trPr>
        <w:tc>
          <w:tcPr>
            <w:tcW w:type="dxa" w:w="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Journey</w:t>
            </w:r>
          </w:p>
        </w:tc>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Dependencies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Writer onboarding and first publish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Decisions settled — incorporated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Feeds into all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and paying experience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Decisions settled — incorporated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§II.3, §II.4a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Writer earnings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Decisions settled — incorporated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Social feed and 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Decisions settled — incorporated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§II.2, §II.5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Publishing and distribution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Decisions settled — incorporated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§II.2, §II.4a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bridging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started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§II.2, §II.5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Self-hosted setup and federation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started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arch.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Moderation and safety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viable decisions incorporated; full design post-launch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Cross-cutting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Advanced payment flows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started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§II.3</w:t>
            </w:r>
          </w:p>
        </w:tc>
      </w:tr>
    </w:tbl>
    <w:p>
      <w:pPr>
        <w:spacing w:after="160"/>
      </w:pPr>
      <w:r>
        <w:rPr>
          <w:rFonts w:ascii="Arial" w:cs="Arial" w:eastAsia="Arial" w:hAnsi="Arial"/>
          <w:b w:val="false"/>
          <w:bCs w:val="false"/>
          <w:sz w:val="20"/>
          <w:szCs w:val="20"/>
        </w:rPr>
        <w:t xml:space="preserve"/>
      </w:r>
    </w:p>
    <w:p>
      <w:pPr>
        <w:pStyle w:val="Heading1"/>
        <w:spacing w:before="360" w:after="200"/>
      </w:pPr>
      <w:r>
        <w:rPr>
          <w:rFonts w:ascii="Arial" w:cs="Arial" w:eastAsia="Arial" w:hAnsi="Arial"/>
          <w:b/>
          <w:bCs/>
          <w:sz w:val="32"/>
          <w:szCs w:val="32"/>
        </w:rPr>
        <w:t xml:space="preserve">III.3. Open Questions</w:t>
      </w:r>
    </w:p>
    <w:p>
      <w:pPr>
        <w:pStyle w:val="Heading3"/>
        <w:spacing w:before="200" w:after="120"/>
      </w:pPr>
      <w:r>
        <w:rPr>
          <w:rFonts w:ascii="Arial" w:cs="Arial" w:eastAsia="Arial" w:hAnsi="Arial"/>
          <w:b/>
          <w:bCs/>
          <w:sz w:val="24"/>
          <w:szCs w:val="24"/>
        </w:rPr>
        <w:t xml:space="preserve">Strategic</w:t>
      </w:r>
    </w:p>
    <w:p>
      <w:pPr>
        <w:spacing w:after="160"/>
      </w:pPr>
      <w:r>
        <w:rPr>
          <w:rFonts w:ascii="Arial" w:cs="Arial" w:eastAsia="Arial" w:hAnsi="Arial"/>
          <w:b w:val="false"/>
          <w:bCs w:val="false"/>
          <w:sz w:val="20"/>
          <w:szCs w:val="20"/>
        </w:rPr>
        <w:t xml:space="preserve">1. Launch cohort management. How is the cohort of 20–30 writers recruited, onboarded, and supported? What commitments do they make? What does the platform provide in return? What is the communication plan for the coordinated launch? Operational question, not architectural, but launch-blocking.</w:t>
      </w:r>
    </w:p>
    <w:p>
      <w:pPr>
        <w:spacing w:after="160"/>
      </w:pPr>
      <w:r>
        <w:rPr>
          <w:rFonts w:ascii="Arial" w:cs="Arial" w:eastAsia="Arial" w:hAnsi="Arial"/>
          <w:b w:val="false"/>
          <w:bCs w:val="false"/>
          <w:sz w:val="20"/>
          <w:szCs w:val="20"/>
        </w:rPr>
        <w:t xml:space="preserve">2. Free sample conversion economics. What is the expected conversion rate from free sample to connected payment method? Is the £5 threshold the right starting point? The illustrative revenue model assumes 20% conversion; real data from the launch cohort is the highest-priority metric to track.</w:t>
      </w:r>
    </w:p>
    <w:p>
      <w:pPr>
        <w:pStyle w:val="Heading3"/>
        <w:spacing w:before="200" w:after="120"/>
      </w:pPr>
      <w:r>
        <w:rPr>
          <w:rFonts w:ascii="Arial" w:cs="Arial" w:eastAsia="Arial" w:hAnsi="Arial"/>
          <w:b/>
          <w:bCs/>
          <w:sz w:val="24"/>
          <w:szCs w:val="24"/>
        </w:rPr>
        <w:t xml:space="preserve">Legal</w:t>
      </w:r>
    </w:p>
    <w:p>
      <w:pPr>
        <w:spacing w:after="160"/>
      </w:pPr>
      <w:r>
        <w:rPr>
          <w:rFonts w:ascii="Arial" w:cs="Arial" w:eastAsia="Arial" w:hAnsi="Arial"/>
          <w:b w:val="false"/>
          <w:bCs w:val="false"/>
          <w:sz w:val="20"/>
          <w:szCs w:val="20"/>
        </w:rPr>
        <w:t xml:space="preserve">3. Consumer Credit Act 1974. Confirm with a financial services solicitor that the tab model — capped, interest-free, auto-settling deferred payment for digital content — is excluded from the CCA. Early indicators suggest this is fine. Launch-blocking.</w:t>
      </w:r>
    </w:p>
    <w:p>
      <w:pPr>
        <w:spacing w:after="160"/>
      </w:pPr>
      <w:r>
        <w:rPr>
          <w:rFonts w:ascii="Arial" w:cs="Arial" w:eastAsia="Arial" w:hAnsi="Arial"/>
          <w:b w:val="false"/>
          <w:bCs w:val="false"/>
          <w:sz w:val="20"/>
          <w:szCs w:val="20"/>
        </w:rPr>
        <w:t xml:space="preserve">4. GDPR compliance for a federated network with German-hosted infrastructure, content liability for instance operators, and tax implications of cross-border creator payouts via Stripe Connect. Can proceed in parallel with CCA analysis.</w:t>
      </w:r>
    </w:p>
    <w:p>
      <w:pPr>
        <w:pStyle w:val="Heading3"/>
        <w:spacing w:before="200" w:after="120"/>
      </w:pPr>
      <w:r>
        <w:rPr>
          <w:rFonts w:ascii="Arial" w:cs="Arial" w:eastAsia="Arial" w:hAnsi="Arial"/>
          <w:b/>
          <w:bCs/>
          <w:sz w:val="24"/>
          <w:szCs w:val="24"/>
        </w:rPr>
        <w:t xml:space="preserve">Architectural</w:t>
      </w:r>
    </w:p>
    <w:p>
      <w:pPr>
        <w:spacing w:after="160"/>
      </w:pPr>
      <w:r>
        <w:rPr>
          <w:rFonts w:ascii="Arial" w:cs="Arial" w:eastAsia="Arial" w:hAnsi="Arial"/>
          <w:b w:val="false"/>
          <w:bCs w:val="false"/>
          <w:sz w:val="20"/>
          <w:szCs w:val="20"/>
        </w:rPr>
        <w:t xml:space="preserve">5. Quote-comment event structure. Kind 1 with q tag (third element = quoted event kind) and mandatory inline bech32 reference is the settled design. Implementation of the rendering contract — article embed card showing title, summary, author, link; one level of visual nesting maximum — needs a dedicated design pass before launch.</w:t>
      </w:r>
    </w:p>
    <w:p>
      <w:pPr>
        <w:spacing w:after="160"/>
      </w:pPr>
      <w:r>
        <w:rPr>
          <w:rFonts w:ascii="Arial" w:cs="Arial" w:eastAsia="Arial" w:hAnsi="Arial"/>
          <w:b w:val="false"/>
          <w:bCs w:val="false"/>
          <w:sz w:val="20"/>
          <w:szCs w:val="20"/>
        </w:rPr>
        <w:t xml:space="preserve">6. Search. Full-text search across the network is not well-supported in Nostr (NIP-50 is limited). The feed service likely needs its own search index. Important for launch.</w:t>
      </w:r>
    </w:p>
    <w:p>
      <w:pPr>
        <w:spacing w:after="160"/>
      </w:pPr>
      <w:r>
        <w:rPr>
          <w:rFonts w:ascii="Arial" w:cs="Arial" w:eastAsia="Arial" w:hAnsi="Arial"/>
          <w:b w:val="false"/>
          <w:bCs w:val="false"/>
          <w:sz w:val="20"/>
          <w:szCs w:val="20"/>
        </w:rPr>
        <w:t xml:space="preserve">7. Vault event kind registration. Kind 39701 is proposed. Confirm no conflict with existing or emerging NIP assignments.</w:t>
      </w:r>
    </w:p>
    <w:p>
      <w:pPr>
        <w:spacing w:after="160"/>
      </w:pPr>
      <w:r>
        <w:rPr>
          <w:rFonts w:ascii="Arial" w:cs="Arial" w:eastAsia="Arial" w:hAnsi="Arial"/>
          <w:b w:val="false"/>
          <w:bCs w:val="false"/>
          <w:sz w:val="20"/>
          <w:szCs w:val="20"/>
        </w:rPr>
        <w:t xml:space="preserve">8. Receipt event kind registration. Kind 9901 is proposed. Confirm no conflict.</w:t>
      </w:r>
    </w:p>
    <w:p>
      <w:pPr>
        <w:spacing w:after="160"/>
      </w:pPr>
      <w:r>
        <w:rPr>
          <w:rFonts w:ascii="Arial" w:cs="Arial" w:eastAsia="Arial" w:hAnsi="Arial"/>
          <w:b w:val="false"/>
          <w:bCs w:val="false"/>
          <w:sz w:val="20"/>
          <w:szCs w:val="20"/>
        </w:rPr>
        <w:t xml:space="preserve">9. Inter-instance settlement dispute resolution. Graduated response (flag discrepancy → request re-reconciliation → escalate to manual review → suspend inter-instance settlement) to be designed. Post-launch.</w:t>
      </w:r>
    </w:p>
    <w:p>
      <w:pPr>
        <w:spacing w:after="160"/>
      </w:pPr>
      <w:r>
        <w:rPr>
          <w:rFonts w:ascii="Arial" w:cs="Arial" w:eastAsia="Arial" w:hAnsi="Arial"/>
          <w:b w:val="false"/>
          <w:bCs w:val="false"/>
          <w:sz w:val="20"/>
          <w:szCs w:val="20"/>
        </w:rPr>
        <w:t xml:space="preserve">10. Creator federation governance. How do creator federations form, set pricing, distribute revenue, and resolve disputes? Post-launch.</w:t>
      </w:r>
    </w:p>
    <w:p>
      <w:pPr>
        <w:pStyle w:val="Heading3"/>
        <w:spacing w:before="200" w:after="120"/>
      </w:pPr>
      <w:r>
        <w:rPr>
          <w:rFonts w:ascii="Arial" w:cs="Arial" w:eastAsia="Arial" w:hAnsi="Arial"/>
          <w:b/>
          <w:bCs/>
          <w:sz w:val="24"/>
          <w:szCs w:val="24"/>
        </w:rPr>
        <w:t xml:space="preserve">Implementation</w:t>
      </w:r>
    </w:p>
    <w:p>
      <w:pPr>
        <w:spacing w:after="160"/>
      </w:pPr>
      <w:r>
        <w:rPr>
          <w:rFonts w:ascii="Arial" w:cs="Arial" w:eastAsia="Arial" w:hAnsi="Arial"/>
          <w:b w:val="false"/>
          <w:bCs w:val="false"/>
          <w:sz w:val="20"/>
          <w:szCs w:val="20"/>
        </w:rPr>
        <w:t xml:space="preserve">11. Mobile experience. Native app vs web client. Offline reading for paid content (vault event decryption can work offline once content key is cached). Post-launch.</w:t>
      </w:r>
    </w:p>
    <w:p>
      <w:pPr>
        <w:spacing w:after="160"/>
      </w:pPr>
      <w:r>
        <w:rPr>
          <w:rFonts w:ascii="Arial" w:cs="Arial" w:eastAsia="Arial" w:hAnsi="Arial"/>
          <w:b w:val="false"/>
          <w:bCs w:val="false"/>
          <w:sz w:val="20"/>
          <w:szCs w:val="20"/>
        </w:rPr>
        <w:t xml:space="preserve">12. Advanced payment flows. Lightning/Cashu alternative flows, inter-instance settlement, bad-debt handling at scale, subscription suggestion logic, creator federation revenue splits. Post-launch.</w:t>
      </w:r>
    </w:p>
    <w:p>
      <w:pPr>
        <w:spacing w:after="160"/>
      </w:pPr>
      <w:r>
        <w:rPr>
          <w:rFonts w:ascii="Arial" w:cs="Arial" w:eastAsia="Arial" w:hAnsi="Arial"/>
          <w:b w:val="false"/>
          <w:bCs w:val="false"/>
          <w:sz w:val="20"/>
          <w:szCs w:val="20"/>
        </w:rPr>
        <w:t xml:space="preserve">13. Content policy document. Required as a pre-launch deliverable. Not an architectural decision but a dependency for moderation.</w:t>
      </w:r>
    </w:p>
    <w:p>
      <w:pPr>
        <w:spacing w:after="160"/>
      </w:pPr>
      <w:r>
        <w:rPr>
          <w:rFonts w:ascii="Arial" w:cs="Arial" w:eastAsia="Arial" w:hAnsi="Arial"/>
          <w:b w:val="false"/>
          <w:bCs w:val="false"/>
          <w:sz w:val="20"/>
          <w:szCs w:val="20"/>
        </w:rPr>
        <w:t xml:space="preserve">14. Article editor library selection. ProseMirror, TipTap, Slate, or similar. Requirements: WYSIWYG rendering, markdown shortcut support, NIP-23 markdown serialisation, Blossom image embedding, draggable gate marker widget.</w:t>
      </w:r>
    </w:p>
    <w:p>
      <w:pPr>
        <w:spacing w:after="160"/>
      </w:pPr>
      <w:r>
        <w:rPr>
          <w:rFonts w:ascii="Arial" w:cs="Arial" w:eastAsia="Arial" w:hAnsi="Arial"/>
          <w:b w:val="false"/>
          <w:bCs w:val="false"/>
          <w:sz w:val="20"/>
          <w:szCs w:val="20"/>
        </w:rPr>
        <w:t xml:space="preserve">15. Draft saving and auto-save. NIP-23 defines draft event kind 30024. Auto-save behaviour, local vs relay storage, crash recovery — implementation details to be resolved.</w:t>
      </w:r>
    </w:p>
    <w:p>
      <w:pPr>
        <w:pBdr>
          <w:bottom w:val="single" w:color="2E75B6" w:sz="6" w:space="1"/>
        </w:pBdr>
        <w:spacing w:before="200" w:after="200"/>
      </w:pPr>
    </w:p>
    <w:p>
      <w:pPr>
        <w:pStyle w:val="Heading1"/>
        <w:spacing w:before="360" w:after="200"/>
      </w:pPr>
      <w:r>
        <w:rPr>
          <w:rFonts w:ascii="Arial" w:cs="Arial" w:eastAsia="Arial" w:hAnsi="Arial"/>
          <w:b/>
          <w:bCs/>
          <w:sz w:val="32"/>
          <w:szCs w:val="32"/>
        </w:rPr>
        <w:t xml:space="preserve">Appendix A: Existing Nostr Ecosystem Tools to Evaluate</w:t>
      </w:r>
    </w:p>
    <w:p>
      <w:pPr>
        <w:pStyle w:val="ListParagraph"/>
        <w:numPr>
          <w:ilvl w:val="0"/>
          <w:numId w:val="2"/>
        </w:numPr>
        <w:spacing w:after="80"/>
      </w:pPr>
      <w:r>
        <w:rPr>
          <w:rFonts w:ascii="Arial" w:cs="Arial" w:eastAsia="Arial" w:hAnsi="Arial"/>
          <w:sz w:val="20"/>
          <w:szCs w:val="20"/>
        </w:rPr>
        <w:t xml:space="preserve">Habla.news — Existing NIP-23 long-form publishing client.</w:t>
      </w:r>
    </w:p>
    <w:p>
      <w:pPr>
        <w:pStyle w:val="ListParagraph"/>
        <w:numPr>
          <w:ilvl w:val="0"/>
          <w:numId w:val="2"/>
        </w:numPr>
        <w:spacing w:after="80"/>
      </w:pPr>
      <w:r>
        <w:rPr>
          <w:rFonts w:ascii="Arial" w:cs="Arial" w:eastAsia="Arial" w:hAnsi="Arial"/>
          <w:sz w:val="20"/>
          <w:szCs w:val="20"/>
        </w:rPr>
        <w:t xml:space="preserve">Highlighter — Reader/annotator for long-form Nostr content.</w:t>
      </w:r>
    </w:p>
    <w:p>
      <w:pPr>
        <w:pStyle w:val="ListParagraph"/>
        <w:numPr>
          <w:ilvl w:val="0"/>
          <w:numId w:val="2"/>
        </w:numPr>
        <w:spacing w:after="80"/>
      </w:pPr>
      <w:r>
        <w:rPr>
          <w:rFonts w:ascii="Arial" w:cs="Arial" w:eastAsia="Arial" w:hAnsi="Arial"/>
          <w:sz w:val="20"/>
          <w:szCs w:val="20"/>
        </w:rPr>
        <w:t xml:space="preserve">Primal — Full-featured Nostr client with caching service.</w:t>
      </w:r>
    </w:p>
    <w:p>
      <w:pPr>
        <w:pStyle w:val="ListParagraph"/>
        <w:numPr>
          <w:ilvl w:val="0"/>
          <w:numId w:val="2"/>
        </w:numPr>
        <w:spacing w:after="80"/>
      </w:pPr>
      <w:r>
        <w:rPr>
          <w:rFonts w:ascii="Arial" w:cs="Arial" w:eastAsia="Arial" w:hAnsi="Arial"/>
          <w:sz w:val="20"/>
          <w:szCs w:val="20"/>
        </w:rPr>
        <w:t xml:space="preserve">Ditto — Web-based Nostr client by Soapbox (Mostr creators).</w:t>
      </w:r>
    </w:p>
    <w:p>
      <w:pPr>
        <w:pStyle w:val="ListParagraph"/>
        <w:numPr>
          <w:ilvl w:val="0"/>
          <w:numId w:val="2"/>
        </w:numPr>
        <w:spacing w:after="80"/>
      </w:pPr>
      <w:r>
        <w:rPr>
          <w:rFonts w:ascii="Arial" w:cs="Arial" w:eastAsia="Arial" w:hAnsi="Arial"/>
          <w:sz w:val="20"/>
          <w:szCs w:val="20"/>
        </w:rPr>
        <w:t xml:space="preserve">Mostr.pub — Nostr ↔ ActivityPub bridge.</w:t>
      </w:r>
    </w:p>
    <w:p>
      <w:pPr>
        <w:pStyle w:val="ListParagraph"/>
        <w:numPr>
          <w:ilvl w:val="0"/>
          <w:numId w:val="2"/>
        </w:numPr>
        <w:spacing w:after="80"/>
      </w:pPr>
      <w:r>
        <w:rPr>
          <w:rFonts w:ascii="Arial" w:cs="Arial" w:eastAsia="Arial" w:hAnsi="Arial"/>
          <w:sz w:val="20"/>
          <w:szCs w:val="20"/>
        </w:rPr>
        <w:t xml:space="preserve">NDK — Nostr Development Kit (TypeScript).</w:t>
      </w:r>
    </w:p>
    <w:p>
      <w:pPr>
        <w:pStyle w:val="ListParagraph"/>
        <w:numPr>
          <w:ilvl w:val="0"/>
          <w:numId w:val="2"/>
        </w:numPr>
        <w:spacing w:after="80"/>
      </w:pPr>
      <w:r>
        <w:rPr>
          <w:rFonts w:ascii="Arial" w:cs="Arial" w:eastAsia="Arial" w:hAnsi="Arial"/>
          <w:sz w:val="20"/>
          <w:szCs w:val="20"/>
        </w:rPr>
        <w:t xml:space="preserve">ndk-wallet — Wallet toolkit (NIP-47, NIP-57, NIP-60, NIP-61).</w:t>
      </w:r>
    </w:p>
    <w:p>
      <w:pPr>
        <w:pStyle w:val="ListParagraph"/>
        <w:numPr>
          <w:ilvl w:val="0"/>
          <w:numId w:val="2"/>
        </w:numPr>
        <w:spacing w:after="80"/>
      </w:pPr>
      <w:r>
        <w:rPr>
          <w:rFonts w:ascii="Arial" w:cs="Arial" w:eastAsia="Arial" w:hAnsi="Arial"/>
          <w:sz w:val="20"/>
          <w:szCs w:val="20"/>
        </w:rPr>
        <w:t xml:space="preserve">ndk-blossom — Blossom media integration for NDK.</w:t>
      </w:r>
    </w:p>
    <w:p>
      <w:pPr>
        <w:pStyle w:val="ListParagraph"/>
        <w:numPr>
          <w:ilvl w:val="0"/>
          <w:numId w:val="2"/>
        </w:numPr>
        <w:spacing w:after="80"/>
      </w:pPr>
      <w:r>
        <w:rPr>
          <w:rFonts w:ascii="Arial" w:cs="Arial" w:eastAsia="Arial" w:hAnsi="Arial"/>
          <w:sz w:val="20"/>
          <w:szCs w:val="20"/>
        </w:rPr>
        <w:t xml:space="preserve">Cashu.me / Minibits / Nutstash — Cashu ecash wallet clients.</w:t>
      </w:r>
    </w:p>
    <w:p>
      <w:pPr>
        <w:pStyle w:val="ListParagraph"/>
        <w:numPr>
          <w:ilvl w:val="0"/>
          <w:numId w:val="2"/>
        </w:numPr>
        <w:spacing w:after="80"/>
      </w:pPr>
      <w:r>
        <w:rPr>
          <w:rFonts w:ascii="Arial" w:cs="Arial" w:eastAsia="Arial" w:hAnsi="Arial"/>
          <w:sz w:val="20"/>
          <w:szCs w:val="20"/>
        </w:rPr>
        <w:t xml:space="preserve">Zeus / Blitz Wallet — Lightning wallets with Cashu integration.</w:t>
      </w:r>
    </w:p>
    <w:p>
      <w:pPr>
        <w:pStyle w:val="ListParagraph"/>
        <w:numPr>
          <w:ilvl w:val="0"/>
          <w:numId w:val="2"/>
        </w:numPr>
        <w:spacing w:after="80"/>
      </w:pPr>
      <w:r>
        <w:rPr>
          <w:rFonts w:ascii="Arial" w:cs="Arial" w:eastAsia="Arial" w:hAnsi="Arial"/>
          <w:sz w:val="20"/>
          <w:szCs w:val="20"/>
        </w:rPr>
        <w:t xml:space="preserve">Alby — Browser extension and NWC provider for Lightning payments.</w:t>
      </w:r>
    </w:p>
    <w:p>
      <w:pPr>
        <w:pStyle w:val="ListParagraph"/>
        <w:numPr>
          <w:ilvl w:val="0"/>
          <w:numId w:val="2"/>
        </w:numPr>
        <w:spacing w:after="80"/>
      </w:pPr>
      <w:r>
        <w:rPr>
          <w:rFonts w:ascii="Arial" w:cs="Arial" w:eastAsia="Arial" w:hAnsi="Arial"/>
          <w:sz w:val="20"/>
          <w:szCs w:val="20"/>
        </w:rPr>
        <w:t xml:space="preserve">Nostrify — Nostr application framework including Blossom uploader.</w:t>
      </w:r>
    </w:p>
    <w:p>
      <w:pPr>
        <w:spacing w:after="160"/>
      </w:pPr>
      <w:r>
        <w:rPr>
          <w:rFonts w:ascii="Arial" w:cs="Arial" w:eastAsia="Arial" w:hAnsi="Arial"/>
          <w:b w:val="false"/>
          <w:bCs w:val="false"/>
          <w:sz w:val="20"/>
          <w:szCs w:val="20"/>
        </w:rPr>
        <w:t xml:space="preserve"/>
      </w:r>
    </w:p>
    <w:p>
      <w:pPr>
        <w:spacing w:after="160"/>
      </w:pPr>
      <w:r>
        <w:rPr>
          <w:rFonts w:ascii="Arial" w:cs="Arial" w:eastAsia="Arial" w:hAnsi="Arial"/>
          <w:b w:val="false"/>
          <w:bCs w:val="false"/>
          <w:sz w:val="20"/>
          <w:szCs w:val="20"/>
        </w:rPr>
        <w:t xml:space="preserve">This is a living document. Update after each user journey conversation or architectural decision.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platform.pub ADR — Draft v0.6 — 13 March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2026-03-13T19:52:30.100Z</dcterms:created>
  <dcterms:modified xsi:type="dcterms:W3CDTF">2026-03-13T19:52:30.101Z</dcterms:modified>
</cp:coreProperties>
</file>

<file path=docProps/custom.xml><?xml version="1.0" encoding="utf-8"?>
<Properties xmlns="http://schemas.openxmlformats.org/officeDocument/2006/custom-properties" xmlns:vt="http://schemas.openxmlformats.org/officeDocument/2006/docPropsVTypes"/>
</file>