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8B1DE7" w14:textId="77777777" w:rsidR="00975F4A" w:rsidRDefault="00000000">
      <w:pPr>
        <w:spacing w:after="40"/>
      </w:pPr>
      <w:r>
        <w:rPr>
          <w:b/>
          <w:bCs/>
          <w:sz w:val="30"/>
          <w:szCs w:val="30"/>
        </w:rPr>
        <w:t>Memo 1: Analyzing the Transition Landscape</w:t>
      </w:r>
    </w:p>
    <w:p w14:paraId="6106F6A4" w14:textId="53F68C88" w:rsidR="00975F4A" w:rsidRDefault="00000000">
      <w:pPr>
        <w:spacing w:after="100"/>
      </w:pPr>
      <w:r>
        <w:rPr>
          <w:i/>
          <w:iCs/>
          <w:color w:val="595959"/>
          <w:sz w:val="20"/>
          <w:szCs w:val="20"/>
        </w:rPr>
        <w:t>Slide 14, "Electricity pulls away"</w:t>
      </w:r>
    </w:p>
    <w:p w14:paraId="6330D59B" w14:textId="0ED657AB" w:rsidR="00975F4A" w:rsidRDefault="00000000">
      <w:pPr>
        <w:spacing w:after="100" w:line="252" w:lineRule="auto"/>
      </w:pPr>
      <w:r>
        <w:rPr>
          <w:b/>
          <w:bCs/>
        </w:rPr>
        <w:t xml:space="preserve">Summary. </w:t>
      </w:r>
      <w:r>
        <w:t xml:space="preserve">Slide 14 shows that </w:t>
      </w:r>
      <w:r w:rsidR="00791766">
        <w:t>electricity’s share</w:t>
      </w:r>
      <w:r>
        <w:t xml:space="preserve"> </w:t>
      </w:r>
      <w:r w:rsidR="00791766">
        <w:t>of the energy mix is increasing, to the point where it is now the single largest supplier of useful energy</w:t>
      </w:r>
      <w:r>
        <w:t xml:space="preserve">. As businesses electrify, buying </w:t>
      </w:r>
      <w:r w:rsidR="00791766">
        <w:t>electricity</w:t>
      </w:r>
      <w:r>
        <w:t xml:space="preserve"> becomes a more</w:t>
      </w:r>
      <w:r w:rsidR="00791766">
        <w:t xml:space="preserve"> important – and potentially</w:t>
      </w:r>
      <w:r>
        <w:t xml:space="preserve"> complicated</w:t>
      </w:r>
      <w:r w:rsidR="00791766">
        <w:t xml:space="preserve"> –</w:t>
      </w:r>
      <w:r>
        <w:t xml:space="preserve"> decision, and mid-sized firms are the least equipped to make it. I propose an AI-assisted energy procurement platform for these firms, launching in Texas.</w:t>
      </w:r>
    </w:p>
    <w:p w14:paraId="637F87F4" w14:textId="77777777" w:rsidR="00975F4A" w:rsidRDefault="00000000">
      <w:pPr>
        <w:pBdr>
          <w:bottom w:val="single" w:sz="6" w:space="1" w:color="808080"/>
        </w:pBdr>
        <w:spacing w:before="140" w:after="70"/>
      </w:pPr>
      <w:r>
        <w:rPr>
          <w:b/>
          <w:bCs/>
          <w:sz w:val="23"/>
          <w:szCs w:val="23"/>
        </w:rPr>
        <w:t>1. The story</w:t>
      </w:r>
    </w:p>
    <w:p w14:paraId="2E8F8404" w14:textId="60095D5B" w:rsidR="00975F4A" w:rsidRDefault="00000000">
      <w:pPr>
        <w:spacing w:after="100" w:line="252" w:lineRule="auto"/>
      </w:pPr>
      <w:r>
        <w:t xml:space="preserve">Slide 14 shows electricity as the largest supplier of useful energy of any fuel or carrier. </w:t>
      </w:r>
      <w:r w:rsidR="00791766">
        <w:t>Approximating using</w:t>
      </w:r>
      <w:r>
        <w:t xml:space="preserve"> </w:t>
      </w:r>
      <w:r w:rsidR="00791766">
        <w:t xml:space="preserve">the </w:t>
      </w:r>
      <w:r>
        <w:t>chart</w:t>
      </w:r>
      <w:r w:rsidR="00791766">
        <w:t>’s values</w:t>
      </w:r>
      <w:r>
        <w:t xml:space="preserve">, its share of total useful energy rose from roughly 27% in 2000 to roughly 33% in 2020, overtaking oil around 2008 to 2010. </w:t>
      </w:r>
      <w:r w:rsidR="00791766">
        <w:t>Further, it looks like this trend may have accelerated since 2020, as electricity supply looks to be increasing at a faster pace than other fuels and carriers.</w:t>
      </w:r>
    </w:p>
    <w:p w14:paraId="52C86844" w14:textId="1DFF0F52" w:rsidR="00975F4A" w:rsidRDefault="00000000">
      <w:pPr>
        <w:spacing w:after="100" w:line="252" w:lineRule="auto"/>
      </w:pPr>
      <w:r>
        <w:t xml:space="preserve">The story here is that electrification, not fuel-for-fuel substitution, </w:t>
      </w:r>
      <w:r w:rsidR="00791766">
        <w:t>may be</w:t>
      </w:r>
      <w:r>
        <w:t xml:space="preserve"> driving the</w:t>
      </w:r>
      <w:r w:rsidR="00791766">
        <w:t xml:space="preserve"> energy</w:t>
      </w:r>
      <w:r>
        <w:t xml:space="preserve"> transition. Solar does not replace oil directly; more of what we do, like transport, heating and manufacturing, moves onto the grid. Oil, gas and coal still supply roughly 60% of useful energy (2020, chart estimate), so this is momentum, not completion. The metric also flatters electricity somewhat. "Useful" energy is measured after conversion losses, and electric end-uses like motors, heat pumps and EVs waste far less than combustion, so part of electricity's lead is efficiency, not more physical energy.</w:t>
      </w:r>
    </w:p>
    <w:p w14:paraId="6D54D83C" w14:textId="77777777" w:rsidR="00975F4A" w:rsidRDefault="00000000">
      <w:pPr>
        <w:spacing w:after="100" w:line="252" w:lineRule="auto"/>
      </w:pPr>
      <w:r>
        <w:t xml:space="preserve">I supplemented the slide with IEA data. The IEA estimates electricity supplied roughly 21% of global </w:t>
      </w:r>
      <w:r>
        <w:rPr>
          <w:i/>
          <w:iCs/>
        </w:rPr>
        <w:t>final</w:t>
      </w:r>
      <w:r>
        <w:t xml:space="preserve"> energy consumption in 2025, up from about 18% in 2015. That is lower than the slide's useful-energy share because final energy includes conversion losses, but the direction is the same. The IEA also expects electricity demand to grow at least 2.5 times faster than overall energy demand through 2030.</w:t>
      </w:r>
    </w:p>
    <w:p w14:paraId="6AF86656" w14:textId="77777777" w:rsidR="00975F4A" w:rsidRDefault="00000000">
      <w:pPr>
        <w:pBdr>
          <w:bottom w:val="single" w:sz="6" w:space="1" w:color="808080"/>
        </w:pBdr>
        <w:spacing w:before="140" w:after="70"/>
      </w:pPr>
      <w:r>
        <w:rPr>
          <w:b/>
          <w:bCs/>
          <w:sz w:val="23"/>
          <w:szCs w:val="23"/>
        </w:rPr>
        <w:t>2. What the slide misses</w:t>
      </w:r>
    </w:p>
    <w:p w14:paraId="567AEADA" w14:textId="28568F68" w:rsidR="00975F4A" w:rsidRDefault="00791766">
      <w:pPr>
        <w:spacing w:after="100" w:line="252" w:lineRule="auto"/>
      </w:pPr>
      <w:r>
        <w:t>Later slides in the</w:t>
      </w:r>
      <w:r w:rsidR="00000000">
        <w:t xml:space="preserve"> deck do cover where the extra electricity comes from</w:t>
      </w:r>
      <w:r>
        <w:t>:</w:t>
      </w:r>
      <w:r w:rsidR="00000000">
        <w:t xml:space="preserve"> solar and wind </w:t>
      </w:r>
      <w:r>
        <w:t xml:space="preserve">are </w:t>
      </w:r>
      <w:r w:rsidR="00000000">
        <w:t xml:space="preserve">growing, </w:t>
      </w:r>
      <w:r>
        <w:t xml:space="preserve">whereas </w:t>
      </w:r>
      <w:r w:rsidR="00000000">
        <w:t xml:space="preserve">gas </w:t>
      </w:r>
      <w:r>
        <w:t xml:space="preserve">looks stagnant </w:t>
      </w:r>
      <w:r w:rsidR="00000000">
        <w:t>and coal</w:t>
      </w:r>
      <w:r>
        <w:t>’s contribution to electricity is</w:t>
      </w:r>
      <w:r w:rsidR="00000000">
        <w:t xml:space="preserve"> falling. Solar's share of global generation tripled in six years (slide 77), for example, and wind and solar narrowly overtook gas in the US (slide 82). Slide 14 still leaves several questions open for anyone building a business on it.</w:t>
      </w:r>
    </w:p>
    <w:p w14:paraId="44907F8B" w14:textId="77777777" w:rsidR="00975F4A" w:rsidRDefault="00000000">
      <w:pPr>
        <w:pStyle w:val="ListParagraph"/>
        <w:numPr>
          <w:ilvl w:val="0"/>
          <w:numId w:val="2"/>
        </w:numPr>
        <w:spacing w:after="50" w:line="252" w:lineRule="auto"/>
      </w:pPr>
      <w:r>
        <w:rPr>
          <w:b/>
          <w:bCs/>
        </w:rPr>
        <w:t xml:space="preserve">Carrier vs. source. </w:t>
      </w:r>
      <w:r>
        <w:t xml:space="preserve">Electricity is generated from other sources, so the chart compares a carrier against fuels. It does not show how much of the electricity line </w:t>
      </w:r>
      <w:proofErr w:type="gramStart"/>
      <w:r>
        <w:t>is itself</w:t>
      </w:r>
      <w:proofErr w:type="gramEnd"/>
      <w:r>
        <w:t xml:space="preserve"> </w:t>
      </w:r>
      <w:proofErr w:type="gramStart"/>
      <w:r>
        <w:t>fossil-generated</w:t>
      </w:r>
      <w:proofErr w:type="gramEnd"/>
      <w:r>
        <w:t>.</w:t>
      </w:r>
    </w:p>
    <w:p w14:paraId="7679C2DF" w14:textId="77777777" w:rsidR="00975F4A" w:rsidRDefault="00000000">
      <w:pPr>
        <w:pStyle w:val="ListParagraph"/>
        <w:numPr>
          <w:ilvl w:val="0"/>
          <w:numId w:val="2"/>
        </w:numPr>
        <w:spacing w:after="50" w:line="252" w:lineRule="auto"/>
      </w:pPr>
      <w:r>
        <w:rPr>
          <w:b/>
          <w:bCs/>
        </w:rPr>
        <w:t xml:space="preserve">Useful vs. final energy. </w:t>
      </w:r>
      <w:r>
        <w:t xml:space="preserve">The slide shows useful energy. On a final-energy basis, electricity's share is only about a fifth, which is a better gauge of how far electrification has </w:t>
      </w:r>
      <w:proofErr w:type="gramStart"/>
      <w:r>
        <w:t>actually gone</w:t>
      </w:r>
      <w:proofErr w:type="gramEnd"/>
      <w:r>
        <w:t>.</w:t>
      </w:r>
    </w:p>
    <w:p w14:paraId="3835DAE0" w14:textId="77777777" w:rsidR="00975F4A" w:rsidRDefault="00000000">
      <w:pPr>
        <w:pStyle w:val="ListParagraph"/>
        <w:numPr>
          <w:ilvl w:val="0"/>
          <w:numId w:val="2"/>
        </w:numPr>
        <w:spacing w:after="50" w:line="252" w:lineRule="auto"/>
      </w:pPr>
      <w:r>
        <w:rPr>
          <w:b/>
          <w:bCs/>
        </w:rPr>
        <w:t xml:space="preserve">Whether the trend continues. </w:t>
      </w:r>
      <w:r>
        <w:t>Heavy industry, aviation and shipping are hard to electrify. The chart shows past momentum, not how much of the remaining system can follow. It also ends around 2022, before newer demand drivers like data centers.</w:t>
      </w:r>
    </w:p>
    <w:p w14:paraId="051A9294" w14:textId="77777777" w:rsidR="00975F4A" w:rsidRDefault="00000000">
      <w:pPr>
        <w:pStyle w:val="ListParagraph"/>
        <w:numPr>
          <w:ilvl w:val="0"/>
          <w:numId w:val="2"/>
        </w:numPr>
        <w:spacing w:after="50" w:line="252" w:lineRule="auto"/>
      </w:pPr>
      <w:r>
        <w:rPr>
          <w:b/>
          <w:bCs/>
        </w:rPr>
        <w:t xml:space="preserve">Who pays, and the last mile. </w:t>
      </w:r>
      <w:r>
        <w:t>More electrification means more spending on power. The slide does not say who bears that cost, or whether homes, buildings and local grids can handle the added load.</w:t>
      </w:r>
    </w:p>
    <w:p w14:paraId="6775EB04" w14:textId="77777777" w:rsidR="00975F4A" w:rsidRDefault="00000000">
      <w:pPr>
        <w:pStyle w:val="ListParagraph"/>
        <w:numPr>
          <w:ilvl w:val="0"/>
          <w:numId w:val="2"/>
        </w:numPr>
        <w:spacing w:after="50" w:line="252" w:lineRule="auto"/>
      </w:pPr>
      <w:r>
        <w:rPr>
          <w:b/>
          <w:bCs/>
        </w:rPr>
        <w:t xml:space="preserve">Market breakdown. </w:t>
      </w:r>
      <w:r>
        <w:t>The chart is a global aggregate. The IEA puts electricity's share of final consumption at 28% in China, 22% in the US and 21% in the EU, and Enerdata finds the US share roughly flat around 22%. Before choosing where to launch, I would want this trend broken out by market: electrification share, load growth and commercial power prices. In the US, growth seems to come more from load (data centers, industry) than from a rising share.</w:t>
      </w:r>
    </w:p>
    <w:p w14:paraId="31C5DB96" w14:textId="77777777" w:rsidR="00975F4A" w:rsidRDefault="00000000">
      <w:pPr>
        <w:pBdr>
          <w:bottom w:val="single" w:sz="6" w:space="1" w:color="808080"/>
        </w:pBdr>
        <w:spacing w:before="140" w:after="70"/>
      </w:pPr>
      <w:r>
        <w:rPr>
          <w:b/>
          <w:bCs/>
          <w:sz w:val="23"/>
          <w:szCs w:val="23"/>
        </w:rPr>
        <w:t>3. Startup thesis: AI-assisted energy procurement for mid-sized businesses</w:t>
      </w:r>
    </w:p>
    <w:p w14:paraId="0E85C8E3" w14:textId="77777777" w:rsidR="00975F4A" w:rsidRDefault="00000000">
      <w:pPr>
        <w:spacing w:after="100" w:line="252" w:lineRule="auto"/>
      </w:pPr>
      <w:r>
        <w:rPr>
          <w:b/>
          <w:bCs/>
        </w:rPr>
        <w:t xml:space="preserve">Opportunity. </w:t>
      </w:r>
      <w:r>
        <w:t xml:space="preserve">Slide 14 shows electricity becoming the dominant energy carrier. As it takes on more load, cost and reliability risk, power becomes a bigger and more strategic purchase. The IEA notes that spending on electricity supply and end-use electrification is already half of global energy investment. Mid-sized businesses are the most underserved: they have no in-house energy team, but their bills are large enough to matter. I propose a platform </w:t>
      </w:r>
      <w:r>
        <w:lastRenderedPageBreak/>
        <w:t>that helps them choose a supply strategy (contract structure, term length, renewable content) and then secures supply using AI agents. It would launch in Texas, where commercial customers can buy from competing retail suppliers, and target light industrial firms and multi-site retail, restaurant and hospitality chains.</w:t>
      </w:r>
    </w:p>
    <w:p w14:paraId="3D785334" w14:textId="77777777" w:rsidR="00975F4A" w:rsidRDefault="00000000">
      <w:pPr>
        <w:spacing w:after="40" w:line="252" w:lineRule="auto"/>
      </w:pPr>
      <w:r>
        <w:rPr>
          <w:b/>
          <w:bCs/>
        </w:rPr>
        <w:t xml:space="preserve">How it works. </w:t>
      </w:r>
      <w:r>
        <w:t>The agents work in stages, with a human approving each step:</w:t>
      </w:r>
    </w:p>
    <w:p w14:paraId="4C1CC835" w14:textId="77777777" w:rsidR="00975F4A" w:rsidRDefault="00000000">
      <w:pPr>
        <w:pStyle w:val="ListParagraph"/>
        <w:numPr>
          <w:ilvl w:val="0"/>
          <w:numId w:val="3"/>
        </w:numPr>
        <w:spacing w:after="40" w:line="252" w:lineRule="auto"/>
      </w:pPr>
      <w:r>
        <w:t xml:space="preserve">The agent analyzes the </w:t>
      </w:r>
      <w:proofErr w:type="gramStart"/>
      <w:r>
        <w:t>business's</w:t>
      </w:r>
      <w:proofErr w:type="gramEnd"/>
      <w:r>
        <w:t xml:space="preserve"> usage and needs and recommends a supply strategy.</w:t>
      </w:r>
    </w:p>
    <w:p w14:paraId="07397CB0" w14:textId="77777777" w:rsidR="00975F4A" w:rsidRDefault="00000000">
      <w:pPr>
        <w:pStyle w:val="ListParagraph"/>
        <w:numPr>
          <w:ilvl w:val="0"/>
          <w:numId w:val="3"/>
        </w:numPr>
        <w:spacing w:after="40" w:line="252" w:lineRule="auto"/>
      </w:pPr>
      <w:r>
        <w:t>After a human approves outreach, the agent proposes price and quantity bands for the approved suppliers.</w:t>
      </w:r>
    </w:p>
    <w:p w14:paraId="437120D6" w14:textId="77777777" w:rsidR="00975F4A" w:rsidRDefault="00000000">
      <w:pPr>
        <w:pStyle w:val="ListParagraph"/>
        <w:numPr>
          <w:ilvl w:val="0"/>
          <w:numId w:val="3"/>
        </w:numPr>
        <w:spacing w:after="40" w:line="252" w:lineRule="auto"/>
      </w:pPr>
      <w:r>
        <w:t>Once a human approves those bands, the agent sends a preliminary message to suppliers, and a human takes over to finalize the contract.</w:t>
      </w:r>
    </w:p>
    <w:p w14:paraId="660594B8" w14:textId="77777777" w:rsidR="00975F4A" w:rsidRDefault="00000000">
      <w:pPr>
        <w:pStyle w:val="ListParagraph"/>
        <w:numPr>
          <w:ilvl w:val="0"/>
          <w:numId w:val="3"/>
        </w:numPr>
        <w:spacing w:after="40" w:line="252" w:lineRule="auto"/>
      </w:pPr>
      <w:r>
        <w:t>Afterward, the agent monitors the market and flags when a better option is available.</w:t>
      </w:r>
    </w:p>
    <w:p w14:paraId="7F275505" w14:textId="77777777" w:rsidR="00975F4A" w:rsidRDefault="00000000">
      <w:pPr>
        <w:spacing w:before="60" w:after="100" w:line="252" w:lineRule="auto"/>
      </w:pPr>
      <w:r>
        <w:rPr>
          <w:b/>
          <w:bCs/>
        </w:rPr>
        <w:t xml:space="preserve">Value proposition. </w:t>
      </w:r>
      <w:r>
        <w:t xml:space="preserve">The platform would beat traditional brokers </w:t>
      </w:r>
      <w:proofErr w:type="gramStart"/>
      <w:r>
        <w:t>on</w:t>
      </w:r>
      <w:proofErr w:type="gramEnd"/>
      <w:r>
        <w:t xml:space="preserve"> speed, </w:t>
      </w:r>
      <w:proofErr w:type="gramStart"/>
      <w:r>
        <w:t>on</w:t>
      </w:r>
      <w:proofErr w:type="gramEnd"/>
      <w:r>
        <w:t xml:space="preserve"> the volume of information it can process, and </w:t>
      </w:r>
      <w:proofErr w:type="gramStart"/>
      <w:r>
        <w:t>on</w:t>
      </w:r>
      <w:proofErr w:type="gramEnd"/>
      <w:r>
        <w:t xml:space="preserve"> cost. Revenue would come from a small subscription for continuous monitoring plus a fee on contracts signed, so it reflects both ongoing and one-off value.</w:t>
      </w:r>
    </w:p>
    <w:p w14:paraId="22F59C86" w14:textId="77777777" w:rsidR="00975F4A" w:rsidRDefault="00000000">
      <w:pPr>
        <w:spacing w:after="100" w:line="252" w:lineRule="auto"/>
      </w:pPr>
      <w:r>
        <w:rPr>
          <w:b/>
          <w:bCs/>
        </w:rPr>
        <w:t xml:space="preserve">Risks. </w:t>
      </w:r>
      <w:r>
        <w:t>The main risks are established brokers and consultancies, access to customers' usage data, and whether businesses will trust AI in procurement. The human approval steps are meant to address the last of these.</w:t>
      </w:r>
    </w:p>
    <w:p w14:paraId="43829653" w14:textId="77777777" w:rsidR="00975F4A" w:rsidRDefault="00000000">
      <w:pPr>
        <w:spacing w:after="100" w:line="252" w:lineRule="auto"/>
      </w:pPr>
      <w:r>
        <w:rPr>
          <w:b/>
          <w:bCs/>
        </w:rPr>
        <w:t xml:space="preserve">Next steps. </w:t>
      </w:r>
      <w:r>
        <w:t xml:space="preserve">Texas is the launch market because of its market structure. Before </w:t>
      </w:r>
      <w:proofErr w:type="gramStart"/>
      <w:r>
        <w:t>committing</w:t>
      </w:r>
      <w:proofErr w:type="gramEnd"/>
      <w:r>
        <w:t xml:space="preserve">, I would break slide 14's trend down by market to check that demand is also growing </w:t>
      </w:r>
      <w:proofErr w:type="gramStart"/>
      <w:r>
        <w:t>fastest</w:t>
      </w:r>
      <w:proofErr w:type="gramEnd"/>
      <w:r>
        <w:t xml:space="preserve"> there, and interview mid-sized businesses about how they buy power today.</w:t>
      </w:r>
    </w:p>
    <w:p w14:paraId="03CDB93C" w14:textId="77777777" w:rsidR="00975F4A" w:rsidRDefault="00000000">
      <w:pPr>
        <w:pBdr>
          <w:top w:val="single" w:sz="4" w:space="4" w:color="A0A0A0"/>
        </w:pBdr>
        <w:spacing w:before="100"/>
      </w:pPr>
      <w:r>
        <w:rPr>
          <w:i/>
          <w:iCs/>
          <w:color w:val="595959"/>
          <w:sz w:val="17"/>
          <w:szCs w:val="17"/>
        </w:rPr>
        <w:t>Sources: N. Bullard, Decarbonization 2026 (slide 14; sources IIASA, Ember Analysis); IEA, Electricity 2024, 2025 and 2026; IEA, World Energy Outlook 2025; Enerdata, Global Energy Yearbook. Shares of useful energy are approximate, read from the chart.</w:t>
      </w:r>
    </w:p>
    <w:sectPr w:rsidR="00975F4A">
      <w:pgSz w:w="12240" w:h="15840"/>
      <w:pgMar w:top="1080" w:right="1224" w:bottom="1080" w:left="122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A6E5B"/>
    <w:multiLevelType w:val="hybridMultilevel"/>
    <w:tmpl w:val="C9F0AE1E"/>
    <w:lvl w:ilvl="0" w:tplc="5EC4E058">
      <w:start w:val="1"/>
      <w:numFmt w:val="decimal"/>
      <w:lvlText w:val="%1."/>
      <w:lvlJc w:val="left"/>
      <w:pPr>
        <w:ind w:left="540" w:hanging="270"/>
      </w:pPr>
    </w:lvl>
    <w:lvl w:ilvl="1" w:tplc="1AEA06A0">
      <w:numFmt w:val="decimal"/>
      <w:lvlText w:val=""/>
      <w:lvlJc w:val="left"/>
    </w:lvl>
    <w:lvl w:ilvl="2" w:tplc="7F98497E">
      <w:numFmt w:val="decimal"/>
      <w:lvlText w:val=""/>
      <w:lvlJc w:val="left"/>
    </w:lvl>
    <w:lvl w:ilvl="3" w:tplc="C9CC3C34">
      <w:numFmt w:val="decimal"/>
      <w:lvlText w:val=""/>
      <w:lvlJc w:val="left"/>
    </w:lvl>
    <w:lvl w:ilvl="4" w:tplc="FE4EBF30">
      <w:numFmt w:val="decimal"/>
      <w:lvlText w:val=""/>
      <w:lvlJc w:val="left"/>
    </w:lvl>
    <w:lvl w:ilvl="5" w:tplc="43AEF9CE">
      <w:numFmt w:val="decimal"/>
      <w:lvlText w:val=""/>
      <w:lvlJc w:val="left"/>
    </w:lvl>
    <w:lvl w:ilvl="6" w:tplc="15466D9E">
      <w:numFmt w:val="decimal"/>
      <w:lvlText w:val=""/>
      <w:lvlJc w:val="left"/>
    </w:lvl>
    <w:lvl w:ilvl="7" w:tplc="D66EC9BA">
      <w:numFmt w:val="decimal"/>
      <w:lvlText w:val=""/>
      <w:lvlJc w:val="left"/>
    </w:lvl>
    <w:lvl w:ilvl="8" w:tplc="6A5A8710">
      <w:numFmt w:val="decimal"/>
      <w:lvlText w:val=""/>
      <w:lvlJc w:val="left"/>
    </w:lvl>
  </w:abstractNum>
  <w:abstractNum w:abstractNumId="1" w15:restartNumberingAfterBreak="0">
    <w:nsid w:val="31B3586B"/>
    <w:multiLevelType w:val="hybridMultilevel"/>
    <w:tmpl w:val="7F2A156A"/>
    <w:lvl w:ilvl="0" w:tplc="D0087DBC">
      <w:start w:val="1"/>
      <w:numFmt w:val="bullet"/>
      <w:lvlText w:val="●"/>
      <w:lvlJc w:val="left"/>
      <w:pPr>
        <w:ind w:left="720" w:hanging="360"/>
      </w:pPr>
    </w:lvl>
    <w:lvl w:ilvl="1" w:tplc="2346B388">
      <w:start w:val="1"/>
      <w:numFmt w:val="bullet"/>
      <w:lvlText w:val="○"/>
      <w:lvlJc w:val="left"/>
      <w:pPr>
        <w:ind w:left="1440" w:hanging="360"/>
      </w:pPr>
    </w:lvl>
    <w:lvl w:ilvl="2" w:tplc="DFBCD444">
      <w:start w:val="1"/>
      <w:numFmt w:val="bullet"/>
      <w:lvlText w:val="■"/>
      <w:lvlJc w:val="left"/>
      <w:pPr>
        <w:ind w:left="2160" w:hanging="360"/>
      </w:pPr>
    </w:lvl>
    <w:lvl w:ilvl="3" w:tplc="D6E23868">
      <w:start w:val="1"/>
      <w:numFmt w:val="bullet"/>
      <w:lvlText w:val="●"/>
      <w:lvlJc w:val="left"/>
      <w:pPr>
        <w:ind w:left="2880" w:hanging="360"/>
      </w:pPr>
    </w:lvl>
    <w:lvl w:ilvl="4" w:tplc="7BAE4840">
      <w:start w:val="1"/>
      <w:numFmt w:val="bullet"/>
      <w:lvlText w:val="○"/>
      <w:lvlJc w:val="left"/>
      <w:pPr>
        <w:ind w:left="3600" w:hanging="360"/>
      </w:pPr>
    </w:lvl>
    <w:lvl w:ilvl="5" w:tplc="48240F3C">
      <w:start w:val="1"/>
      <w:numFmt w:val="bullet"/>
      <w:lvlText w:val="■"/>
      <w:lvlJc w:val="left"/>
      <w:pPr>
        <w:ind w:left="4320" w:hanging="360"/>
      </w:pPr>
    </w:lvl>
    <w:lvl w:ilvl="6" w:tplc="BC58FA40">
      <w:start w:val="1"/>
      <w:numFmt w:val="bullet"/>
      <w:lvlText w:val="●"/>
      <w:lvlJc w:val="left"/>
      <w:pPr>
        <w:ind w:left="5040" w:hanging="360"/>
      </w:pPr>
    </w:lvl>
    <w:lvl w:ilvl="7" w:tplc="1C8C7F8A">
      <w:start w:val="1"/>
      <w:numFmt w:val="bullet"/>
      <w:lvlText w:val="●"/>
      <w:lvlJc w:val="left"/>
      <w:pPr>
        <w:ind w:left="5760" w:hanging="360"/>
      </w:pPr>
    </w:lvl>
    <w:lvl w:ilvl="8" w:tplc="54BE4F0C">
      <w:start w:val="1"/>
      <w:numFmt w:val="bullet"/>
      <w:lvlText w:val="●"/>
      <w:lvlJc w:val="left"/>
      <w:pPr>
        <w:ind w:left="6480" w:hanging="360"/>
      </w:pPr>
    </w:lvl>
  </w:abstractNum>
  <w:abstractNum w:abstractNumId="2" w15:restartNumberingAfterBreak="0">
    <w:nsid w:val="31D15CEB"/>
    <w:multiLevelType w:val="hybridMultilevel"/>
    <w:tmpl w:val="F0A8FB08"/>
    <w:lvl w:ilvl="0" w:tplc="145C8AD0">
      <w:start w:val="1"/>
      <w:numFmt w:val="bullet"/>
      <w:lvlText w:val="•"/>
      <w:lvlJc w:val="left"/>
      <w:pPr>
        <w:ind w:left="540" w:hanging="270"/>
      </w:pPr>
    </w:lvl>
    <w:lvl w:ilvl="1" w:tplc="EA9CEC5E">
      <w:numFmt w:val="decimal"/>
      <w:lvlText w:val=""/>
      <w:lvlJc w:val="left"/>
    </w:lvl>
    <w:lvl w:ilvl="2" w:tplc="74F44C02">
      <w:numFmt w:val="decimal"/>
      <w:lvlText w:val=""/>
      <w:lvlJc w:val="left"/>
    </w:lvl>
    <w:lvl w:ilvl="3" w:tplc="52B44A5C">
      <w:numFmt w:val="decimal"/>
      <w:lvlText w:val=""/>
      <w:lvlJc w:val="left"/>
    </w:lvl>
    <w:lvl w:ilvl="4" w:tplc="32D2259A">
      <w:numFmt w:val="decimal"/>
      <w:lvlText w:val=""/>
      <w:lvlJc w:val="left"/>
    </w:lvl>
    <w:lvl w:ilvl="5" w:tplc="F7EEE6DA">
      <w:numFmt w:val="decimal"/>
      <w:lvlText w:val=""/>
      <w:lvlJc w:val="left"/>
    </w:lvl>
    <w:lvl w:ilvl="6" w:tplc="EB0027E4">
      <w:numFmt w:val="decimal"/>
      <w:lvlText w:val=""/>
      <w:lvlJc w:val="left"/>
    </w:lvl>
    <w:lvl w:ilvl="7" w:tplc="D110C8BC">
      <w:numFmt w:val="decimal"/>
      <w:lvlText w:val=""/>
      <w:lvlJc w:val="left"/>
    </w:lvl>
    <w:lvl w:ilvl="8" w:tplc="4B30FCCE">
      <w:numFmt w:val="decimal"/>
      <w:lvlText w:val=""/>
      <w:lvlJc w:val="left"/>
    </w:lvl>
  </w:abstractNum>
  <w:num w:numId="1" w16cid:durableId="792096392">
    <w:abstractNumId w:val="1"/>
    <w:lvlOverride w:ilvl="0">
      <w:startOverride w:val="1"/>
    </w:lvlOverride>
  </w:num>
  <w:num w:numId="2" w16cid:durableId="883979624">
    <w:abstractNumId w:val="2"/>
    <w:lvlOverride w:ilvl="0">
      <w:startOverride w:val="1"/>
    </w:lvlOverride>
  </w:num>
  <w:num w:numId="3" w16cid:durableId="91705951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5F4A"/>
    <w:rsid w:val="00501FCE"/>
    <w:rsid w:val="00724C5E"/>
    <w:rsid w:val="00791766"/>
    <w:rsid w:val="00975F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68119F"/>
  <w15:docId w15:val="{86E9FA49-C392-4F5A-ACDB-81DD5B46ED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1186</TotalTime>
  <Pages>2</Pages>
  <Words>892</Words>
  <Characters>5090</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Billy Matthews</cp:lastModifiedBy>
  <cp:revision>2</cp:revision>
  <dcterms:created xsi:type="dcterms:W3CDTF">2026-09-20T03:38:00Z</dcterms:created>
  <dcterms:modified xsi:type="dcterms:W3CDTF">2026-09-20T23:36:00Z</dcterms:modified>
</cp:coreProperties>
</file>